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445C" w14:textId="77777777" w:rsidR="00860B14" w:rsidRPr="00841BD4" w:rsidRDefault="00860B14" w:rsidP="00841BD4">
      <w:pPr>
        <w:jc w:val="center"/>
        <w:rPr>
          <w:rFonts w:ascii="Times New Roman" w:hAnsi="Times New Roman" w:cs="Times New Roman"/>
          <w:u w:val="single"/>
        </w:rPr>
      </w:pPr>
      <w:r w:rsidRPr="00841BD4">
        <w:rPr>
          <w:rFonts w:ascii="Times New Roman" w:hAnsi="Times New Roman" w:cs="Times New Roman"/>
          <w:u w:val="single"/>
        </w:rPr>
        <w:t>Comparative Human Rights Law: Affirmative Action in the United States and India</w:t>
      </w:r>
    </w:p>
    <w:p w14:paraId="224960C1" w14:textId="77777777" w:rsidR="008768F2" w:rsidRPr="00841BD4" w:rsidRDefault="008768F2" w:rsidP="00841BD4">
      <w:pPr>
        <w:ind w:left="4320"/>
        <w:jc w:val="both"/>
        <w:rPr>
          <w:rFonts w:cs="AGaramond"/>
          <w:color w:val="000000"/>
        </w:rPr>
      </w:pPr>
    </w:p>
    <w:p w14:paraId="7411A174" w14:textId="636BDB12" w:rsidR="008768F2" w:rsidRPr="00841BD4" w:rsidRDefault="00860B14" w:rsidP="00841BD4">
      <w:pPr>
        <w:ind w:left="4320"/>
        <w:jc w:val="both"/>
        <w:rPr>
          <w:rFonts w:ascii="Times New Roman" w:hAnsi="Times New Roman" w:cs="Times New Roman"/>
          <w:color w:val="000000"/>
          <w:sz w:val="20"/>
          <w:szCs w:val="20"/>
        </w:rPr>
      </w:pPr>
      <w:r w:rsidRPr="00841BD4">
        <w:rPr>
          <w:rFonts w:ascii="Times New Roman" w:hAnsi="Times New Roman" w:cs="Times New Roman"/>
          <w:color w:val="000000"/>
          <w:sz w:val="20"/>
          <w:szCs w:val="20"/>
        </w:rPr>
        <w:t xml:space="preserve">Comparative analysis emphatically is relevant to the task of interpreting constitutions and enforcing human right. We are the losers if we neglect what others can tell us about endeavors to eradicate bias against women, minorities and other disadvantaged groups. For irrational prejudice and rank discrimination are infectious in our world. In this reality, </w:t>
      </w:r>
      <w:r w:rsidR="00BE7BF6" w:rsidRPr="00841BD4">
        <w:rPr>
          <w:rFonts w:ascii="Times New Roman" w:hAnsi="Times New Roman" w:cs="Times New Roman"/>
          <w:color w:val="000000"/>
          <w:sz w:val="20"/>
          <w:szCs w:val="20"/>
        </w:rPr>
        <w:t>as well as the determination to counter it, we all share.</w:t>
      </w:r>
      <w:r w:rsidR="00BE7BF6" w:rsidRPr="00841BD4">
        <w:rPr>
          <w:rStyle w:val="FootnoteReference"/>
          <w:rFonts w:ascii="Times New Roman" w:hAnsi="Times New Roman" w:cs="Times New Roman"/>
          <w:color w:val="000000"/>
          <w:sz w:val="20"/>
          <w:szCs w:val="20"/>
        </w:rPr>
        <w:footnoteReference w:id="1"/>
      </w:r>
      <w:r w:rsidR="00BE7BF6" w:rsidRPr="00841BD4">
        <w:rPr>
          <w:rFonts w:ascii="Times New Roman" w:hAnsi="Times New Roman" w:cs="Times New Roman"/>
          <w:color w:val="000000"/>
          <w:sz w:val="20"/>
          <w:szCs w:val="20"/>
        </w:rPr>
        <w:t xml:space="preserve"> </w:t>
      </w:r>
    </w:p>
    <w:p w14:paraId="5CEDD40B" w14:textId="1097E018" w:rsidR="00860B14" w:rsidRPr="00477802" w:rsidRDefault="007E211D" w:rsidP="00477802">
      <w:pPr>
        <w:ind w:left="7200"/>
        <w:jc w:val="right"/>
        <w:rPr>
          <w:rFonts w:ascii="Times New Roman" w:hAnsi="Times New Roman" w:cs="Times New Roman"/>
          <w:color w:val="000000"/>
          <w:sz w:val="20"/>
          <w:szCs w:val="20"/>
        </w:rPr>
      </w:pPr>
      <w:r w:rsidRPr="00477802">
        <w:rPr>
          <w:rFonts w:ascii="Times New Roman" w:hAnsi="Times New Roman" w:cs="Times New Roman"/>
          <w:color w:val="000000"/>
          <w:sz w:val="20"/>
          <w:szCs w:val="20"/>
        </w:rPr>
        <w:t>-Ruth</w:t>
      </w:r>
      <w:r w:rsidR="008768F2" w:rsidRPr="00477802">
        <w:rPr>
          <w:rFonts w:ascii="Times New Roman" w:hAnsi="Times New Roman" w:cs="Times New Roman"/>
          <w:color w:val="000000"/>
          <w:sz w:val="20"/>
          <w:szCs w:val="20"/>
        </w:rPr>
        <w:t xml:space="preserve"> Bader Ginsburg</w:t>
      </w:r>
    </w:p>
    <w:p w14:paraId="2FA43335" w14:textId="6C9C5D2A" w:rsidR="00E0772D" w:rsidRPr="00BA1F28" w:rsidRDefault="00EA75E7" w:rsidP="009C23CA">
      <w:pPr>
        <w:pStyle w:val="ListParagraph"/>
        <w:numPr>
          <w:ilvl w:val="0"/>
          <w:numId w:val="3"/>
        </w:numPr>
        <w:spacing w:line="480" w:lineRule="auto"/>
        <w:jc w:val="both"/>
        <w:rPr>
          <w:rFonts w:ascii="Times New Roman" w:hAnsi="Times New Roman" w:cs="Times New Roman"/>
          <w:u w:val="single"/>
        </w:rPr>
      </w:pPr>
      <w:r w:rsidRPr="00BA1F28">
        <w:rPr>
          <w:rFonts w:ascii="Times New Roman" w:hAnsi="Times New Roman" w:cs="Times New Roman"/>
          <w:u w:val="single"/>
        </w:rPr>
        <w:t>Introduction</w:t>
      </w:r>
    </w:p>
    <w:p w14:paraId="494D3FA9" w14:textId="47B81AAB" w:rsidR="00EA75E7" w:rsidRPr="00BA1F28" w:rsidRDefault="00EA75E7" w:rsidP="009C23CA">
      <w:pPr>
        <w:spacing w:line="480" w:lineRule="auto"/>
        <w:jc w:val="both"/>
        <w:rPr>
          <w:rFonts w:ascii="Times New Roman" w:hAnsi="Times New Roman" w:cs="Times New Roman"/>
        </w:rPr>
      </w:pPr>
      <w:r w:rsidRPr="00BA1F28">
        <w:rPr>
          <w:rFonts w:ascii="Times New Roman" w:hAnsi="Times New Roman" w:cs="Times New Roman"/>
        </w:rPr>
        <w:tab/>
        <w:t>In this paper I will compare affirmative action</w:t>
      </w:r>
      <w:r w:rsidR="005351A9" w:rsidRPr="00BA1F28">
        <w:rPr>
          <w:rFonts w:ascii="Times New Roman" w:hAnsi="Times New Roman" w:cs="Times New Roman"/>
        </w:rPr>
        <w:t xml:space="preserve"> in higher education</w:t>
      </w:r>
      <w:r w:rsidR="00E86B0A" w:rsidRPr="00BA1F28">
        <w:rPr>
          <w:rFonts w:ascii="Times New Roman" w:hAnsi="Times New Roman" w:cs="Times New Roman"/>
        </w:rPr>
        <w:t xml:space="preserve"> </w:t>
      </w:r>
      <w:r w:rsidRPr="00BA1F28">
        <w:rPr>
          <w:rFonts w:ascii="Times New Roman" w:hAnsi="Times New Roman" w:cs="Times New Roman"/>
        </w:rPr>
        <w:t>in</w:t>
      </w:r>
      <w:r w:rsidR="00E35FD1" w:rsidRPr="00BA1F28">
        <w:rPr>
          <w:rFonts w:ascii="Times New Roman" w:hAnsi="Times New Roman" w:cs="Times New Roman"/>
        </w:rPr>
        <w:t xml:space="preserve"> two different federalist jurisdictions:</w:t>
      </w:r>
      <w:r w:rsidR="00A8640B">
        <w:rPr>
          <w:rFonts w:ascii="Times New Roman" w:hAnsi="Times New Roman" w:cs="Times New Roman"/>
        </w:rPr>
        <w:t xml:space="preserve"> the United States and </w:t>
      </w:r>
      <w:r w:rsidR="005351A9" w:rsidRPr="00BA1F28">
        <w:rPr>
          <w:rFonts w:ascii="Times New Roman" w:hAnsi="Times New Roman" w:cs="Times New Roman"/>
        </w:rPr>
        <w:t>India. I</w:t>
      </w:r>
      <w:r w:rsidRPr="00BA1F28">
        <w:rPr>
          <w:rFonts w:ascii="Times New Roman" w:hAnsi="Times New Roman" w:cs="Times New Roman"/>
        </w:rPr>
        <w:t>n particular</w:t>
      </w:r>
      <w:r w:rsidR="005351A9" w:rsidRPr="00BA1F28">
        <w:rPr>
          <w:rFonts w:ascii="Times New Roman" w:hAnsi="Times New Roman" w:cs="Times New Roman"/>
        </w:rPr>
        <w:t>,</w:t>
      </w:r>
      <w:r w:rsidRPr="00BA1F28">
        <w:rPr>
          <w:rFonts w:ascii="Times New Roman" w:hAnsi="Times New Roman" w:cs="Times New Roman"/>
        </w:rPr>
        <w:t xml:space="preserve"> I will focus on the scrutiny used by both jurisdictions to interpret affirmative action policies, and how both jurisdictions view </w:t>
      </w:r>
      <w:r w:rsidR="007933CE" w:rsidRPr="00BA1F28">
        <w:rPr>
          <w:rFonts w:ascii="Times New Roman" w:hAnsi="Times New Roman" w:cs="Times New Roman"/>
        </w:rPr>
        <w:t>the use of quotas, or ‘reservations.’</w:t>
      </w:r>
      <w:r w:rsidRPr="00BA1F28">
        <w:rPr>
          <w:rFonts w:ascii="Times New Roman" w:hAnsi="Times New Roman" w:cs="Times New Roman"/>
        </w:rPr>
        <w:t xml:space="preserve"> </w:t>
      </w:r>
      <w:r w:rsidR="005B500E" w:rsidRPr="00BA1F28">
        <w:rPr>
          <w:rFonts w:ascii="Times New Roman" w:hAnsi="Times New Roman" w:cs="Times New Roman"/>
        </w:rPr>
        <w:t>I will also compare the positive and negative aspects of both jurisdictions by evaluating whether or not they are consistent with the international human rights regime.</w:t>
      </w:r>
      <w:r w:rsidR="009F032D" w:rsidRPr="00BA1F28">
        <w:rPr>
          <w:rStyle w:val="FootnoteReference"/>
          <w:rFonts w:ascii="Times New Roman" w:hAnsi="Times New Roman" w:cs="Times New Roman"/>
        </w:rPr>
        <w:footnoteReference w:id="2"/>
      </w:r>
      <w:r w:rsidR="005B500E" w:rsidRPr="00BA1F28">
        <w:rPr>
          <w:rFonts w:ascii="Times New Roman" w:hAnsi="Times New Roman" w:cs="Times New Roman"/>
        </w:rPr>
        <w:t xml:space="preserve"> </w:t>
      </w:r>
      <w:r w:rsidRPr="00BA1F28">
        <w:rPr>
          <w:rFonts w:ascii="Times New Roman" w:hAnsi="Times New Roman" w:cs="Times New Roman"/>
        </w:rPr>
        <w:t xml:space="preserve">I will argue that U.S. jurisprudence </w:t>
      </w:r>
      <w:r w:rsidR="007933CE" w:rsidRPr="00BA1F28">
        <w:rPr>
          <w:rFonts w:ascii="Times New Roman" w:hAnsi="Times New Roman" w:cs="Times New Roman"/>
        </w:rPr>
        <w:t>on affirmative action</w:t>
      </w:r>
      <w:r w:rsidR="00E86B0A" w:rsidRPr="00BA1F28">
        <w:rPr>
          <w:rFonts w:ascii="Times New Roman" w:hAnsi="Times New Roman" w:cs="Times New Roman"/>
        </w:rPr>
        <w:t xml:space="preserve"> is at odds</w:t>
      </w:r>
      <w:r w:rsidRPr="00BA1F28">
        <w:rPr>
          <w:rFonts w:ascii="Times New Roman" w:hAnsi="Times New Roman" w:cs="Times New Roman"/>
        </w:rPr>
        <w:t xml:space="preserve"> with international human rights law</w:t>
      </w:r>
      <w:r w:rsidR="005B500E" w:rsidRPr="00BA1F28">
        <w:rPr>
          <w:rFonts w:ascii="Times New Roman" w:hAnsi="Times New Roman" w:cs="Times New Roman"/>
        </w:rPr>
        <w:t xml:space="preserve"> (“IHRL”)</w:t>
      </w:r>
      <w:r w:rsidRPr="00BA1F28">
        <w:rPr>
          <w:rFonts w:ascii="Times New Roman" w:hAnsi="Times New Roman" w:cs="Times New Roman"/>
        </w:rPr>
        <w:t xml:space="preserve"> on the subject, and that this can best be explained by the U.S.’s </w:t>
      </w:r>
      <w:r w:rsidR="00E86B0A" w:rsidRPr="00BA1F28">
        <w:rPr>
          <w:rFonts w:ascii="Times New Roman" w:hAnsi="Times New Roman" w:cs="Times New Roman"/>
        </w:rPr>
        <w:t>market-centered</w:t>
      </w:r>
      <w:r w:rsidRPr="00BA1F28">
        <w:rPr>
          <w:rFonts w:ascii="Times New Roman" w:hAnsi="Times New Roman" w:cs="Times New Roman"/>
        </w:rPr>
        <w:t xml:space="preserve"> political economy as it compar</w:t>
      </w:r>
      <w:r w:rsidR="00E86B0A" w:rsidRPr="00BA1F28">
        <w:rPr>
          <w:rFonts w:ascii="Times New Roman" w:hAnsi="Times New Roman" w:cs="Times New Roman"/>
        </w:rPr>
        <w:t>es to India’s more state-centered</w:t>
      </w:r>
      <w:r w:rsidRPr="00BA1F28">
        <w:rPr>
          <w:rFonts w:ascii="Times New Roman" w:hAnsi="Times New Roman" w:cs="Times New Roman"/>
        </w:rPr>
        <w:t xml:space="preserve"> pol</w:t>
      </w:r>
      <w:r w:rsidR="005351A9" w:rsidRPr="00BA1F28">
        <w:rPr>
          <w:rFonts w:ascii="Times New Roman" w:hAnsi="Times New Roman" w:cs="Times New Roman"/>
        </w:rPr>
        <w:t>i</w:t>
      </w:r>
      <w:r w:rsidRPr="00BA1F28">
        <w:rPr>
          <w:rFonts w:ascii="Times New Roman" w:hAnsi="Times New Roman" w:cs="Times New Roman"/>
        </w:rPr>
        <w:t>tical economy</w:t>
      </w:r>
      <w:r w:rsidR="00E86B0A" w:rsidRPr="00BA1F28">
        <w:rPr>
          <w:rFonts w:ascii="Times New Roman" w:hAnsi="Times New Roman" w:cs="Times New Roman"/>
        </w:rPr>
        <w:t xml:space="preserve">. </w:t>
      </w:r>
      <w:r w:rsidRPr="00BA1F28">
        <w:rPr>
          <w:rFonts w:ascii="Times New Roman" w:hAnsi="Times New Roman" w:cs="Times New Roman"/>
        </w:rPr>
        <w:t xml:space="preserve"> </w:t>
      </w:r>
      <w:r w:rsidR="00F02FCC" w:rsidRPr="00BA1F28">
        <w:rPr>
          <w:rFonts w:ascii="Times New Roman" w:hAnsi="Times New Roman" w:cs="Times New Roman"/>
        </w:rPr>
        <w:t>This is also consistent with my contention that the nature of the</w:t>
      </w:r>
      <w:r w:rsidRPr="00BA1F28">
        <w:rPr>
          <w:rFonts w:ascii="Times New Roman" w:hAnsi="Times New Roman" w:cs="Times New Roman"/>
        </w:rPr>
        <w:t xml:space="preserve"> </w:t>
      </w:r>
      <w:r w:rsidR="005B500E" w:rsidRPr="00BA1F28">
        <w:rPr>
          <w:rFonts w:ascii="Times New Roman" w:hAnsi="Times New Roman" w:cs="Times New Roman"/>
        </w:rPr>
        <w:t xml:space="preserve">obligations of States under the </w:t>
      </w:r>
      <w:r w:rsidR="005351A9" w:rsidRPr="00BA1F28">
        <w:rPr>
          <w:rFonts w:ascii="Times New Roman" w:hAnsi="Times New Roman" w:cs="Times New Roman"/>
        </w:rPr>
        <w:t>international human rights regime</w:t>
      </w:r>
      <w:r w:rsidR="00F02FCC" w:rsidRPr="00BA1F28">
        <w:rPr>
          <w:rFonts w:ascii="Times New Roman" w:hAnsi="Times New Roman" w:cs="Times New Roman"/>
        </w:rPr>
        <w:t xml:space="preserve"> requires a more state-centered political economy that permits the State to enact measures to achieve </w:t>
      </w:r>
      <w:r w:rsidR="00F02FCC" w:rsidRPr="00BA1F28">
        <w:rPr>
          <w:rFonts w:ascii="Times New Roman" w:hAnsi="Times New Roman" w:cs="Times New Roman"/>
          <w:i/>
        </w:rPr>
        <w:t>de facto</w:t>
      </w:r>
      <w:r w:rsidR="00F02FCC" w:rsidRPr="00BA1F28">
        <w:rPr>
          <w:rFonts w:ascii="Times New Roman" w:hAnsi="Times New Roman" w:cs="Times New Roman"/>
        </w:rPr>
        <w:t xml:space="preserve"> equality by remedying the current distribution of inequalities in society</w:t>
      </w:r>
      <w:r w:rsidRPr="00BA1F28">
        <w:rPr>
          <w:rFonts w:ascii="Times New Roman" w:hAnsi="Times New Roman" w:cs="Times New Roman"/>
        </w:rPr>
        <w:t xml:space="preserve">. </w:t>
      </w:r>
    </w:p>
    <w:p w14:paraId="3E842507" w14:textId="77777777" w:rsidR="000257F0" w:rsidRPr="00BA1F28" w:rsidRDefault="007933CE" w:rsidP="009C23CA">
      <w:pPr>
        <w:pStyle w:val="ListParagraph"/>
        <w:numPr>
          <w:ilvl w:val="0"/>
          <w:numId w:val="3"/>
        </w:numPr>
        <w:spacing w:line="480" w:lineRule="auto"/>
        <w:jc w:val="both"/>
        <w:rPr>
          <w:rFonts w:ascii="Times New Roman" w:hAnsi="Times New Roman" w:cs="Times New Roman"/>
          <w:u w:val="single"/>
        </w:rPr>
      </w:pPr>
      <w:r w:rsidRPr="00BA1F28">
        <w:rPr>
          <w:rFonts w:ascii="Times New Roman" w:hAnsi="Times New Roman" w:cs="Times New Roman"/>
          <w:u w:val="single"/>
        </w:rPr>
        <w:t>F</w:t>
      </w:r>
      <w:r w:rsidR="000257F0" w:rsidRPr="00BA1F28">
        <w:rPr>
          <w:rFonts w:ascii="Times New Roman" w:hAnsi="Times New Roman" w:cs="Times New Roman"/>
          <w:u w:val="single"/>
        </w:rPr>
        <w:t>unctional Equivalency Analysis</w:t>
      </w:r>
    </w:p>
    <w:p w14:paraId="33901435" w14:textId="6E8D5B20" w:rsidR="00EA75E7" w:rsidRPr="00BA1F28" w:rsidRDefault="00EA75E7" w:rsidP="009C23CA">
      <w:pPr>
        <w:pStyle w:val="ListParagraph"/>
        <w:numPr>
          <w:ilvl w:val="0"/>
          <w:numId w:val="5"/>
        </w:numPr>
        <w:spacing w:line="480" w:lineRule="auto"/>
        <w:jc w:val="both"/>
        <w:rPr>
          <w:rFonts w:ascii="Times New Roman" w:hAnsi="Times New Roman" w:cs="Times New Roman"/>
          <w:u w:val="single"/>
        </w:rPr>
      </w:pPr>
      <w:r w:rsidRPr="00BA1F28">
        <w:rPr>
          <w:rFonts w:ascii="Times New Roman" w:hAnsi="Times New Roman" w:cs="Times New Roman"/>
          <w:u w:val="single"/>
        </w:rPr>
        <w:t>Affirmative Action</w:t>
      </w:r>
      <w:r w:rsidR="00637DDA" w:rsidRPr="00BA1F28">
        <w:rPr>
          <w:rFonts w:ascii="Times New Roman" w:hAnsi="Times New Roman" w:cs="Times New Roman"/>
          <w:u w:val="single"/>
        </w:rPr>
        <w:t xml:space="preserve"> in </w:t>
      </w:r>
      <w:r w:rsidR="00597B03" w:rsidRPr="00BA1F28">
        <w:rPr>
          <w:rFonts w:ascii="Times New Roman" w:hAnsi="Times New Roman" w:cs="Times New Roman"/>
          <w:u w:val="single"/>
        </w:rPr>
        <w:t>the United States</w:t>
      </w:r>
      <w:r w:rsidR="00637DDA" w:rsidRPr="00BA1F28">
        <w:rPr>
          <w:rFonts w:ascii="Times New Roman" w:hAnsi="Times New Roman" w:cs="Times New Roman"/>
          <w:u w:val="single"/>
        </w:rPr>
        <w:t xml:space="preserve"> </w:t>
      </w:r>
    </w:p>
    <w:p w14:paraId="3963F89D" w14:textId="3E24C3AA" w:rsidR="00EA75E7" w:rsidRPr="00BA1F28" w:rsidRDefault="00560315" w:rsidP="009C23CA">
      <w:pPr>
        <w:widowControl w:val="0"/>
        <w:autoSpaceDE w:val="0"/>
        <w:autoSpaceDN w:val="0"/>
        <w:adjustRightInd w:val="0"/>
        <w:spacing w:line="480" w:lineRule="auto"/>
        <w:jc w:val="both"/>
        <w:rPr>
          <w:rFonts w:ascii="Times New Roman" w:hAnsi="Times New Roman" w:cs="Times New Roman"/>
        </w:rPr>
      </w:pPr>
      <w:r w:rsidRPr="00BA1F28">
        <w:rPr>
          <w:rFonts w:ascii="Times New Roman" w:hAnsi="Times New Roman" w:cs="Times New Roman"/>
        </w:rPr>
        <w:tab/>
        <w:t>Affirmative action plans involve the use of racial classifications to benefit a minority group. Since such plans are based on ra</w:t>
      </w:r>
      <w:r w:rsidR="005351A9" w:rsidRPr="00BA1F28">
        <w:rPr>
          <w:rFonts w:ascii="Times New Roman" w:hAnsi="Times New Roman" w:cs="Times New Roman"/>
        </w:rPr>
        <w:t>cial classifications, they are subject to</w:t>
      </w:r>
      <w:r w:rsidRPr="00BA1F28">
        <w:rPr>
          <w:rFonts w:ascii="Times New Roman" w:hAnsi="Times New Roman" w:cs="Times New Roman"/>
        </w:rPr>
        <w:t xml:space="preserve"> the Equal </w:t>
      </w:r>
      <w:r w:rsidRPr="00BA1F28">
        <w:rPr>
          <w:rFonts w:ascii="Times New Roman" w:hAnsi="Times New Roman" w:cs="Times New Roman"/>
        </w:rPr>
        <w:lastRenderedPageBreak/>
        <w:t xml:space="preserve">Protection Clause of the U.S. Constitution, which </w:t>
      </w:r>
      <w:r w:rsidR="00965BDB" w:rsidRPr="00BA1F28">
        <w:rPr>
          <w:rFonts w:ascii="Times New Roman" w:hAnsi="Times New Roman" w:cs="Times New Roman"/>
        </w:rPr>
        <w:t>provides that no States shall “deny to any person within its jurisdiction the equal protection of the laws.”</w:t>
      </w:r>
      <w:r w:rsidR="00965BDB" w:rsidRPr="00BA1F28">
        <w:rPr>
          <w:rStyle w:val="FootnoteReference"/>
          <w:rFonts w:ascii="Times New Roman" w:hAnsi="Times New Roman" w:cs="Times New Roman"/>
        </w:rPr>
        <w:footnoteReference w:id="3"/>
      </w:r>
      <w:r w:rsidR="00965BDB" w:rsidRPr="00BA1F28">
        <w:rPr>
          <w:rFonts w:ascii="Times New Roman" w:hAnsi="Times New Roman" w:cs="Times New Roman"/>
        </w:rPr>
        <w:t xml:space="preserve"> </w:t>
      </w:r>
      <w:r w:rsidR="002F4ED9" w:rsidRPr="00BA1F28">
        <w:rPr>
          <w:rFonts w:ascii="Times New Roman" w:hAnsi="Times New Roman" w:cs="Times New Roman"/>
        </w:rPr>
        <w:t xml:space="preserve">In the United States, </w:t>
      </w:r>
      <w:r w:rsidR="008C05DF" w:rsidRPr="00BA1F28">
        <w:rPr>
          <w:rFonts w:ascii="Times New Roman" w:hAnsi="Times New Roman" w:cs="Times New Roman"/>
        </w:rPr>
        <w:t xml:space="preserve">all </w:t>
      </w:r>
      <w:r w:rsidR="002F4ED9" w:rsidRPr="00BA1F28">
        <w:rPr>
          <w:rFonts w:ascii="Times New Roman" w:hAnsi="Times New Roman" w:cs="Times New Roman"/>
        </w:rPr>
        <w:t>affirmative action plans implemented by the government are evaluated using strict scrutiny.</w:t>
      </w:r>
      <w:r w:rsidR="008C05DF" w:rsidRPr="00BA1F28">
        <w:rPr>
          <w:rStyle w:val="FootnoteReference"/>
          <w:rFonts w:ascii="Times New Roman" w:hAnsi="Times New Roman" w:cs="Times New Roman"/>
        </w:rPr>
        <w:footnoteReference w:id="4"/>
      </w:r>
      <w:r w:rsidR="008C05DF" w:rsidRPr="00BA1F28">
        <w:rPr>
          <w:rFonts w:ascii="Times New Roman" w:hAnsi="Times New Roman" w:cs="Times New Roman"/>
        </w:rPr>
        <w:t xml:space="preserve"> Under strict scrutiny, racial “</w:t>
      </w:r>
      <w:r w:rsidR="00965BDB" w:rsidRPr="00BA1F28">
        <w:rPr>
          <w:rFonts w:ascii="Times New Roman" w:hAnsi="Times New Roman" w:cs="Times New Roman"/>
        </w:rPr>
        <w:t xml:space="preserve">classifications are </w:t>
      </w:r>
      <w:r w:rsidR="008C05DF" w:rsidRPr="00BA1F28">
        <w:rPr>
          <w:rFonts w:ascii="Times New Roman" w:hAnsi="Times New Roman" w:cs="Times New Roman"/>
        </w:rPr>
        <w:t>constitutional only if they are narrowly tailored to further compelling government interests.”</w:t>
      </w:r>
      <w:r w:rsidRPr="00BA1F28">
        <w:rPr>
          <w:rStyle w:val="FootnoteReference"/>
          <w:rFonts w:ascii="Times New Roman" w:hAnsi="Times New Roman" w:cs="Times New Roman"/>
        </w:rPr>
        <w:footnoteReference w:id="5"/>
      </w:r>
      <w:r w:rsidR="008C05DF" w:rsidRPr="00BA1F28">
        <w:rPr>
          <w:rFonts w:ascii="Times New Roman" w:hAnsi="Times New Roman" w:cs="Times New Roman"/>
        </w:rPr>
        <w:t xml:space="preserve"> </w:t>
      </w:r>
      <w:r w:rsidRPr="00BA1F28">
        <w:rPr>
          <w:rFonts w:ascii="Times New Roman" w:hAnsi="Times New Roman" w:cs="Times New Roman"/>
        </w:rPr>
        <w:t xml:space="preserve">This is the highest level of scrutiny used in Equal Protection analysis, the </w:t>
      </w:r>
      <w:r w:rsidR="00965BDB" w:rsidRPr="00BA1F28">
        <w:rPr>
          <w:rFonts w:ascii="Times New Roman" w:hAnsi="Times New Roman" w:cs="Times New Roman"/>
        </w:rPr>
        <w:t xml:space="preserve">lower levels being rational basis and intermediate scrutiny. </w:t>
      </w:r>
    </w:p>
    <w:p w14:paraId="699D5CA4" w14:textId="7E476896" w:rsidR="00D32114" w:rsidRPr="00BA1F28" w:rsidRDefault="00D32114" w:rsidP="009C23CA">
      <w:pPr>
        <w:widowControl w:val="0"/>
        <w:autoSpaceDE w:val="0"/>
        <w:autoSpaceDN w:val="0"/>
        <w:adjustRightInd w:val="0"/>
        <w:spacing w:line="480" w:lineRule="auto"/>
        <w:jc w:val="both"/>
        <w:rPr>
          <w:rFonts w:ascii="Times New Roman" w:hAnsi="Times New Roman" w:cs="Times New Roman"/>
        </w:rPr>
      </w:pPr>
      <w:r w:rsidRPr="00BA1F28">
        <w:rPr>
          <w:rFonts w:ascii="Times New Roman" w:hAnsi="Times New Roman" w:cs="Times New Roman"/>
        </w:rPr>
        <w:tab/>
        <w:t xml:space="preserve">In </w:t>
      </w:r>
      <w:r w:rsidRPr="00BA1F28">
        <w:rPr>
          <w:rFonts w:ascii="Times New Roman" w:hAnsi="Times New Roman" w:cs="Times New Roman"/>
          <w:u w:val="single"/>
        </w:rPr>
        <w:t>Grutter v. Bollinger</w:t>
      </w:r>
      <w:r w:rsidRPr="00BA1F28">
        <w:rPr>
          <w:rFonts w:ascii="Times New Roman" w:hAnsi="Times New Roman" w:cs="Times New Roman"/>
        </w:rPr>
        <w:t>, petitioner, a white Michigan resident, filed suit against The University of Michigan Law School</w:t>
      </w:r>
      <w:r w:rsidR="005351A9" w:rsidRPr="00BA1F28">
        <w:rPr>
          <w:rFonts w:ascii="Times New Roman" w:hAnsi="Times New Roman" w:cs="Times New Roman"/>
        </w:rPr>
        <w:t xml:space="preserve"> (“Law School”)</w:t>
      </w:r>
      <w:r w:rsidRPr="00BA1F28">
        <w:rPr>
          <w:rFonts w:ascii="Times New Roman" w:hAnsi="Times New Roman" w:cs="Times New Roman"/>
        </w:rPr>
        <w:t xml:space="preserve"> after being denied admission.</w:t>
      </w:r>
      <w:r w:rsidRPr="00BA1F28">
        <w:rPr>
          <w:rStyle w:val="FootnoteReference"/>
          <w:rFonts w:ascii="Times New Roman" w:hAnsi="Times New Roman" w:cs="Times New Roman"/>
        </w:rPr>
        <w:footnoteReference w:id="6"/>
      </w:r>
      <w:r w:rsidR="003A528A" w:rsidRPr="00BA1F28">
        <w:rPr>
          <w:rFonts w:ascii="Times New Roman" w:hAnsi="Times New Roman" w:cs="Times New Roman"/>
        </w:rPr>
        <w:t xml:space="preserve"> The Law School had</w:t>
      </w:r>
      <w:r w:rsidRPr="00BA1F28">
        <w:rPr>
          <w:rFonts w:ascii="Times New Roman" w:hAnsi="Times New Roman" w:cs="Times New Roman"/>
        </w:rPr>
        <w:t xml:space="preserve"> an official poli</w:t>
      </w:r>
      <w:r w:rsidR="003A528A" w:rsidRPr="00BA1F28">
        <w:rPr>
          <w:rFonts w:ascii="Times New Roman" w:hAnsi="Times New Roman" w:cs="Times New Roman"/>
        </w:rPr>
        <w:t>cy that considered</w:t>
      </w:r>
      <w:r w:rsidR="0049396E" w:rsidRPr="00BA1F28">
        <w:rPr>
          <w:rFonts w:ascii="Times New Roman" w:hAnsi="Times New Roman" w:cs="Times New Roman"/>
        </w:rPr>
        <w:t xml:space="preserve"> race as part of “a flexible assessment of applicants’ talents, experiences and potential to contribute to the learning of those around them.”</w:t>
      </w:r>
      <w:r w:rsidR="0049396E" w:rsidRPr="00BA1F28">
        <w:rPr>
          <w:rStyle w:val="FootnoteReference"/>
          <w:rFonts w:ascii="Times New Roman" w:hAnsi="Times New Roman" w:cs="Times New Roman"/>
        </w:rPr>
        <w:footnoteReference w:id="7"/>
      </w:r>
      <w:r w:rsidR="003A528A" w:rsidRPr="00BA1F28">
        <w:rPr>
          <w:rFonts w:ascii="Times New Roman" w:hAnsi="Times New Roman" w:cs="Times New Roman"/>
        </w:rPr>
        <w:t xml:space="preserve"> The policy reaffirmed</w:t>
      </w:r>
      <w:r w:rsidR="0049396E" w:rsidRPr="00BA1F28">
        <w:rPr>
          <w:rFonts w:ascii="Times New Roman" w:hAnsi="Times New Roman" w:cs="Times New Roman"/>
        </w:rPr>
        <w:t xml:space="preserve"> the Law School’s commitment to “racial and ethnic diversity with special reference to the inclusion of students from groups which have been historically discriminated against.”</w:t>
      </w:r>
      <w:r w:rsidR="0049396E" w:rsidRPr="00BA1F28">
        <w:rPr>
          <w:rStyle w:val="FootnoteReference"/>
          <w:rFonts w:ascii="Times New Roman" w:hAnsi="Times New Roman" w:cs="Times New Roman"/>
        </w:rPr>
        <w:footnoteReference w:id="8"/>
      </w:r>
      <w:r w:rsidR="003A528A" w:rsidRPr="00BA1F28">
        <w:rPr>
          <w:rFonts w:ascii="Times New Roman" w:hAnsi="Times New Roman" w:cs="Times New Roman"/>
        </w:rPr>
        <w:t xml:space="preserve"> The Law School hoped</w:t>
      </w:r>
      <w:r w:rsidR="0049396E" w:rsidRPr="00BA1F28">
        <w:rPr>
          <w:rFonts w:ascii="Times New Roman" w:hAnsi="Times New Roman" w:cs="Times New Roman"/>
        </w:rPr>
        <w:t xml:space="preserve"> to enroll a “critical mass of underrepresented minority students [</w:t>
      </w:r>
      <w:r w:rsidR="003A528A" w:rsidRPr="00BA1F28">
        <w:rPr>
          <w:rFonts w:ascii="Times New Roman" w:hAnsi="Times New Roman" w:cs="Times New Roman"/>
        </w:rPr>
        <w:t xml:space="preserve"> </w:t>
      </w:r>
      <w:r w:rsidR="0049396E" w:rsidRPr="00BA1F28">
        <w:rPr>
          <w:rFonts w:ascii="Times New Roman" w:hAnsi="Times New Roman" w:cs="Times New Roman"/>
        </w:rPr>
        <w:t>] to ensure their ability to make unique contributions to the character of the Law School.”</w:t>
      </w:r>
      <w:r w:rsidR="0049396E" w:rsidRPr="00BA1F28">
        <w:rPr>
          <w:rStyle w:val="FootnoteReference"/>
          <w:rFonts w:ascii="Times New Roman" w:hAnsi="Times New Roman" w:cs="Times New Roman"/>
        </w:rPr>
        <w:footnoteReference w:id="9"/>
      </w:r>
      <w:r w:rsidR="00D34E38" w:rsidRPr="00BA1F28">
        <w:rPr>
          <w:rFonts w:ascii="Times New Roman" w:hAnsi="Times New Roman" w:cs="Times New Roman"/>
        </w:rPr>
        <w:tab/>
      </w:r>
    </w:p>
    <w:p w14:paraId="084B91D4" w14:textId="3DB6623B" w:rsidR="00D34E38" w:rsidRPr="00BA1F28" w:rsidRDefault="00D34E38" w:rsidP="009C23CA">
      <w:pPr>
        <w:widowControl w:val="0"/>
        <w:autoSpaceDE w:val="0"/>
        <w:autoSpaceDN w:val="0"/>
        <w:adjustRightInd w:val="0"/>
        <w:spacing w:line="480" w:lineRule="auto"/>
        <w:ind w:firstLine="720"/>
        <w:jc w:val="both"/>
        <w:rPr>
          <w:rFonts w:ascii="Times New Roman" w:hAnsi="Times New Roman" w:cs="Times New Roman"/>
        </w:rPr>
      </w:pPr>
      <w:r w:rsidRPr="00BA1F28">
        <w:rPr>
          <w:rFonts w:ascii="Times New Roman" w:hAnsi="Times New Roman" w:cs="Times New Roman"/>
        </w:rPr>
        <w:t xml:space="preserve">In </w:t>
      </w:r>
      <w:r w:rsidRPr="00BA1F28">
        <w:rPr>
          <w:rFonts w:ascii="Times New Roman" w:hAnsi="Times New Roman" w:cs="Times New Roman"/>
          <w:u w:val="single"/>
        </w:rPr>
        <w:t>Grutter</w:t>
      </w:r>
      <w:r w:rsidRPr="00BA1F28">
        <w:rPr>
          <w:rFonts w:ascii="Times New Roman" w:hAnsi="Times New Roman" w:cs="Times New Roman"/>
        </w:rPr>
        <w:t>, the Court determined that “obtaining the education benefits that flow from a diverse student body” is a compelling government interest in the context of higher education.</w:t>
      </w:r>
      <w:r w:rsidRPr="00BA1F28">
        <w:rPr>
          <w:rStyle w:val="FootnoteReference"/>
          <w:rFonts w:ascii="Times New Roman" w:hAnsi="Times New Roman" w:cs="Times New Roman"/>
        </w:rPr>
        <w:footnoteReference w:id="10"/>
      </w:r>
      <w:r w:rsidRPr="00BA1F28">
        <w:rPr>
          <w:rFonts w:ascii="Times New Roman" w:hAnsi="Times New Roman" w:cs="Times New Roman"/>
        </w:rPr>
        <w:t xml:space="preserve"> </w:t>
      </w:r>
      <w:r w:rsidR="0049396E" w:rsidRPr="00BA1F28">
        <w:rPr>
          <w:rFonts w:ascii="Times New Roman" w:hAnsi="Times New Roman" w:cs="Times New Roman"/>
        </w:rPr>
        <w:t>In accepting that diversity is a compelling governm</w:t>
      </w:r>
      <w:r w:rsidR="003A528A" w:rsidRPr="00BA1F28">
        <w:rPr>
          <w:rFonts w:ascii="Times New Roman" w:hAnsi="Times New Roman" w:cs="Times New Roman"/>
        </w:rPr>
        <w:t>ent interest, the Court stressed</w:t>
      </w:r>
      <w:r w:rsidR="0049396E" w:rsidRPr="00BA1F28">
        <w:rPr>
          <w:rFonts w:ascii="Times New Roman" w:hAnsi="Times New Roman" w:cs="Times New Roman"/>
        </w:rPr>
        <w:t xml:space="preserve"> that this interest is not “simply to assure within its student body some specific percentage of a particular </w:t>
      </w:r>
      <w:r w:rsidR="0049396E" w:rsidRPr="00BA1F28">
        <w:rPr>
          <w:rFonts w:ascii="Times New Roman" w:hAnsi="Times New Roman" w:cs="Times New Roman"/>
        </w:rPr>
        <w:lastRenderedPageBreak/>
        <w:t>group merely because of its race or ethnic origin.”</w:t>
      </w:r>
      <w:r w:rsidR="0049396E" w:rsidRPr="00BA1F28">
        <w:rPr>
          <w:rStyle w:val="FootnoteReference"/>
          <w:rFonts w:ascii="Times New Roman" w:hAnsi="Times New Roman" w:cs="Times New Roman"/>
        </w:rPr>
        <w:footnoteReference w:id="11"/>
      </w:r>
      <w:r w:rsidR="00742980" w:rsidRPr="00BA1F28">
        <w:rPr>
          <w:rFonts w:ascii="Times New Roman" w:hAnsi="Times New Roman" w:cs="Times New Roman"/>
        </w:rPr>
        <w:t xml:space="preserve"> Such an interest would constitute racial balancing and would be unconstitutional.</w:t>
      </w:r>
      <w:r w:rsidR="00742980" w:rsidRPr="00BA1F28">
        <w:rPr>
          <w:rStyle w:val="FootnoteReference"/>
          <w:rFonts w:ascii="Times New Roman" w:hAnsi="Times New Roman" w:cs="Times New Roman"/>
        </w:rPr>
        <w:footnoteReference w:id="12"/>
      </w:r>
      <w:r w:rsidR="00742980" w:rsidRPr="00BA1F28">
        <w:rPr>
          <w:rFonts w:ascii="Times New Roman" w:hAnsi="Times New Roman" w:cs="Times New Roman"/>
        </w:rPr>
        <w:t xml:space="preserve"> However, since the Law </w:t>
      </w:r>
      <w:r w:rsidR="003A528A" w:rsidRPr="00BA1F28">
        <w:rPr>
          <w:rFonts w:ascii="Times New Roman" w:hAnsi="Times New Roman" w:cs="Times New Roman"/>
        </w:rPr>
        <w:t>School’s ‘critical mass’ goal was</w:t>
      </w:r>
      <w:r w:rsidR="00742980" w:rsidRPr="00BA1F28">
        <w:rPr>
          <w:rFonts w:ascii="Times New Roman" w:hAnsi="Times New Roman" w:cs="Times New Roman"/>
        </w:rPr>
        <w:t xml:space="preserve"> “defined by reference to the educational benefits that diversity is designed to produce</w:t>
      </w:r>
      <w:r w:rsidR="00906552" w:rsidRPr="00BA1F28">
        <w:rPr>
          <w:rFonts w:ascii="Times New Roman" w:hAnsi="Times New Roman" w:cs="Times New Roman"/>
        </w:rPr>
        <w:t>,</w:t>
      </w:r>
      <w:r w:rsidR="00742980" w:rsidRPr="00BA1F28">
        <w:rPr>
          <w:rFonts w:ascii="Times New Roman" w:hAnsi="Times New Roman" w:cs="Times New Roman"/>
        </w:rPr>
        <w:t>” and not by reference to discrete percentages of a student body based on race or ethnic orig</w:t>
      </w:r>
      <w:r w:rsidR="003A528A" w:rsidRPr="00BA1F28">
        <w:rPr>
          <w:rFonts w:ascii="Times New Roman" w:hAnsi="Times New Roman" w:cs="Times New Roman"/>
        </w:rPr>
        <w:t>in, the Law School’s interest was</w:t>
      </w:r>
      <w:r w:rsidR="00742980" w:rsidRPr="00BA1F28">
        <w:rPr>
          <w:rFonts w:ascii="Times New Roman" w:hAnsi="Times New Roman" w:cs="Times New Roman"/>
        </w:rPr>
        <w:t xml:space="preserve"> not unconstitutional.</w:t>
      </w:r>
      <w:r w:rsidR="00742980" w:rsidRPr="00BA1F28">
        <w:rPr>
          <w:rStyle w:val="FootnoteReference"/>
          <w:rFonts w:ascii="Times New Roman" w:hAnsi="Times New Roman" w:cs="Times New Roman"/>
        </w:rPr>
        <w:footnoteReference w:id="13"/>
      </w:r>
      <w:r w:rsidR="00742980" w:rsidRPr="00BA1F28">
        <w:rPr>
          <w:rFonts w:ascii="Times New Roman" w:hAnsi="Times New Roman" w:cs="Times New Roman"/>
        </w:rPr>
        <w:t xml:space="preserve"> </w:t>
      </w:r>
    </w:p>
    <w:p w14:paraId="4B458430" w14:textId="43FC3AC0" w:rsidR="008C05DF" w:rsidRPr="00BA1F28" w:rsidRDefault="004C628C" w:rsidP="009C23CA">
      <w:pPr>
        <w:widowControl w:val="0"/>
        <w:autoSpaceDE w:val="0"/>
        <w:autoSpaceDN w:val="0"/>
        <w:adjustRightInd w:val="0"/>
        <w:spacing w:line="480" w:lineRule="auto"/>
        <w:ind w:firstLine="720"/>
        <w:jc w:val="both"/>
        <w:rPr>
          <w:rFonts w:ascii="Times New Roman" w:hAnsi="Times New Roman" w:cs="Times New Roman"/>
        </w:rPr>
      </w:pPr>
      <w:r w:rsidRPr="00BA1F28">
        <w:rPr>
          <w:rFonts w:ascii="Times New Roman" w:hAnsi="Times New Roman" w:cs="Times New Roman"/>
        </w:rPr>
        <w:t xml:space="preserve">Even where using racial classifications is permissible to further a compelling </w:t>
      </w:r>
      <w:r w:rsidR="003A528A" w:rsidRPr="00BA1F28">
        <w:rPr>
          <w:rFonts w:ascii="Times New Roman" w:hAnsi="Times New Roman" w:cs="Times New Roman"/>
        </w:rPr>
        <w:t xml:space="preserve">government </w:t>
      </w:r>
      <w:r w:rsidRPr="00BA1F28">
        <w:rPr>
          <w:rFonts w:ascii="Times New Roman" w:hAnsi="Times New Roman" w:cs="Times New Roman"/>
        </w:rPr>
        <w:t>interest, the “means chosen to accomplish the government’s asserted purpose must be specifically and narrowly framed to accomplish that purpose.”</w:t>
      </w:r>
      <w:r w:rsidRPr="00BA1F28">
        <w:rPr>
          <w:rStyle w:val="FootnoteReference"/>
          <w:rFonts w:ascii="Times New Roman" w:hAnsi="Times New Roman" w:cs="Times New Roman"/>
        </w:rPr>
        <w:footnoteReference w:id="14"/>
      </w:r>
      <w:r w:rsidRPr="00BA1F28">
        <w:rPr>
          <w:rFonts w:ascii="Times New Roman" w:hAnsi="Times New Roman" w:cs="Times New Roman"/>
        </w:rPr>
        <w:t xml:space="preserve"> Narrow tailoring “ensure[s] that the means chosen ‘fit’ the compelling goal so closely that there is little or no possibility that the motive for the classification was illegitimate racial prejudice or stereotype.”</w:t>
      </w:r>
      <w:r w:rsidRPr="00BA1F28">
        <w:rPr>
          <w:rStyle w:val="FootnoteReference"/>
          <w:rFonts w:ascii="Times New Roman" w:hAnsi="Times New Roman" w:cs="Times New Roman"/>
        </w:rPr>
        <w:footnoteReference w:id="15"/>
      </w:r>
    </w:p>
    <w:p w14:paraId="44ED0785" w14:textId="49563252" w:rsidR="008C05DF" w:rsidRPr="00BA1F28" w:rsidRDefault="00A40F08" w:rsidP="009C23CA">
      <w:pPr>
        <w:spacing w:line="480" w:lineRule="auto"/>
        <w:jc w:val="both"/>
        <w:rPr>
          <w:rFonts w:ascii="Times New Roman" w:hAnsi="Times New Roman" w:cs="Times New Roman"/>
        </w:rPr>
      </w:pPr>
      <w:r w:rsidRPr="00BA1F28">
        <w:rPr>
          <w:rFonts w:ascii="Times New Roman" w:hAnsi="Times New Roman" w:cs="Times New Roman"/>
        </w:rPr>
        <w:tab/>
        <w:t>The Court found that the Law School’s race-conscious admissions program was narrowly tailored because it used race “only as a ‘plus’ in a particular applicant’s file.”</w:t>
      </w:r>
      <w:r w:rsidRPr="00BA1F28">
        <w:rPr>
          <w:rStyle w:val="FootnoteReference"/>
          <w:rFonts w:ascii="Times New Roman" w:hAnsi="Times New Roman" w:cs="Times New Roman"/>
        </w:rPr>
        <w:footnoteReference w:id="16"/>
      </w:r>
      <w:r w:rsidRPr="00BA1F28">
        <w:rPr>
          <w:rFonts w:ascii="Times New Roman" w:hAnsi="Times New Roman" w:cs="Times New Roman"/>
        </w:rPr>
        <w:t xml:space="preserve"> </w:t>
      </w:r>
      <w:r w:rsidR="004F45A8" w:rsidRPr="00BA1F28">
        <w:rPr>
          <w:rFonts w:ascii="Times New Roman" w:hAnsi="Times New Roman" w:cs="Times New Roman"/>
        </w:rPr>
        <w:t>It is also important that</w:t>
      </w:r>
      <w:r w:rsidR="001B64A2" w:rsidRPr="00BA1F28">
        <w:rPr>
          <w:rFonts w:ascii="Times New Roman" w:hAnsi="Times New Roman" w:cs="Times New Roman"/>
        </w:rPr>
        <w:t xml:space="preserve"> while</w:t>
      </w:r>
      <w:r w:rsidR="004F45A8" w:rsidRPr="00BA1F28">
        <w:rPr>
          <w:rFonts w:ascii="Times New Roman" w:hAnsi="Times New Roman" w:cs="Times New Roman"/>
        </w:rPr>
        <w:t xml:space="preserve"> using race as a ‘plus’ factor in admissions, the “admissions program must remain flexible enough to ensure that an applicant is evaluated as an individual and not in a way that makes an applicant’s race or ethnicity the defining feature of his or her application.”</w:t>
      </w:r>
      <w:r w:rsidR="004F45A8" w:rsidRPr="00BA1F28">
        <w:rPr>
          <w:rStyle w:val="FootnoteReference"/>
          <w:rFonts w:ascii="Times New Roman" w:hAnsi="Times New Roman" w:cs="Times New Roman"/>
        </w:rPr>
        <w:footnoteReference w:id="17"/>
      </w:r>
      <w:r w:rsidR="004F45A8" w:rsidRPr="00BA1F28">
        <w:rPr>
          <w:rFonts w:ascii="Times New Roman" w:hAnsi="Times New Roman" w:cs="Times New Roman"/>
        </w:rPr>
        <w:t xml:space="preserve"> </w:t>
      </w:r>
      <w:r w:rsidRPr="00BA1F28">
        <w:rPr>
          <w:rFonts w:ascii="Times New Roman" w:hAnsi="Times New Roman" w:cs="Times New Roman"/>
        </w:rPr>
        <w:t>This is in contrast to the impermissible means of a quota system</w:t>
      </w:r>
      <w:r w:rsidR="00FF7BEA" w:rsidRPr="00BA1F28">
        <w:rPr>
          <w:rFonts w:ascii="Times New Roman" w:hAnsi="Times New Roman" w:cs="Times New Roman"/>
        </w:rPr>
        <w:t xml:space="preserve"> that “impose[s] a fixed number of percentage which must be attained, or which cannot be exceeded,”</w:t>
      </w:r>
      <w:r w:rsidR="00FF7BEA" w:rsidRPr="00BA1F28">
        <w:rPr>
          <w:rStyle w:val="FootnoteReference"/>
          <w:rFonts w:ascii="Times New Roman" w:hAnsi="Times New Roman" w:cs="Times New Roman"/>
        </w:rPr>
        <w:footnoteReference w:id="18"/>
      </w:r>
      <w:r w:rsidR="00FF7BEA" w:rsidRPr="00BA1F28">
        <w:rPr>
          <w:rFonts w:ascii="Times New Roman" w:hAnsi="Times New Roman" w:cs="Times New Roman"/>
        </w:rPr>
        <w:t xml:space="preserve"> and</w:t>
      </w:r>
      <w:r w:rsidRPr="00BA1F28">
        <w:rPr>
          <w:rFonts w:ascii="Times New Roman" w:hAnsi="Times New Roman" w:cs="Times New Roman"/>
        </w:rPr>
        <w:t xml:space="preserve"> that “insulates each category of applicants with certain desired qualifications from competition with all other applicants.”</w:t>
      </w:r>
      <w:r w:rsidRPr="00BA1F28">
        <w:rPr>
          <w:rStyle w:val="FootnoteReference"/>
          <w:rFonts w:ascii="Times New Roman" w:hAnsi="Times New Roman" w:cs="Times New Roman"/>
        </w:rPr>
        <w:footnoteReference w:id="19"/>
      </w:r>
      <w:r w:rsidR="003A528A" w:rsidRPr="00BA1F28">
        <w:rPr>
          <w:rFonts w:ascii="Times New Roman" w:hAnsi="Times New Roman" w:cs="Times New Roman"/>
        </w:rPr>
        <w:t xml:space="preserve"> The Law School’s policy was found to be permissible because it ensures</w:t>
      </w:r>
      <w:r w:rsidRPr="00BA1F28">
        <w:rPr>
          <w:rFonts w:ascii="Times New Roman" w:hAnsi="Times New Roman" w:cs="Times New Roman"/>
        </w:rPr>
        <w:t xml:space="preserve"> “truly </w:t>
      </w:r>
      <w:r w:rsidRPr="00BA1F28">
        <w:rPr>
          <w:rFonts w:ascii="Times New Roman" w:hAnsi="Times New Roman" w:cs="Times New Roman"/>
        </w:rPr>
        <w:lastRenderedPageBreak/>
        <w:t>individualized consideration” of an applicant and “demands that race be used in a flexible, nonmechanical way.”</w:t>
      </w:r>
      <w:r w:rsidRPr="00BA1F28">
        <w:rPr>
          <w:rStyle w:val="FootnoteReference"/>
          <w:rFonts w:ascii="Times New Roman" w:hAnsi="Times New Roman" w:cs="Times New Roman"/>
        </w:rPr>
        <w:footnoteReference w:id="20"/>
      </w:r>
      <w:r w:rsidR="00FB62C4" w:rsidRPr="00BA1F28">
        <w:rPr>
          <w:rFonts w:ascii="Times New Roman" w:hAnsi="Times New Roman" w:cs="Times New Roman"/>
        </w:rPr>
        <w:t xml:space="preserve"> In other words, the Law School’s policy ensures that candidates “compete with all other qualified applicants.”</w:t>
      </w:r>
      <w:r w:rsidR="00FB62C4" w:rsidRPr="00BA1F28">
        <w:rPr>
          <w:rStyle w:val="FootnoteReference"/>
          <w:rFonts w:ascii="Times New Roman" w:hAnsi="Times New Roman" w:cs="Times New Roman"/>
        </w:rPr>
        <w:footnoteReference w:id="21"/>
      </w:r>
    </w:p>
    <w:p w14:paraId="7C1BE232" w14:textId="7C6A42D2" w:rsidR="001B64A2" w:rsidRPr="00BA1F28" w:rsidRDefault="001B64A2" w:rsidP="009C23CA">
      <w:pPr>
        <w:spacing w:line="480" w:lineRule="auto"/>
        <w:jc w:val="both"/>
        <w:rPr>
          <w:rFonts w:ascii="Times New Roman" w:hAnsi="Times New Roman" w:cs="Times New Roman"/>
        </w:rPr>
      </w:pPr>
      <w:r w:rsidRPr="00BA1F28">
        <w:rPr>
          <w:rFonts w:ascii="Times New Roman" w:hAnsi="Times New Roman" w:cs="Times New Roman"/>
        </w:rPr>
        <w:tab/>
        <w:t>Having found that the Law School’s race-conscious admissions program was narrowly tailored to “further the compelling interest in obtaining the education benefits that flow from a diverse student body,” the Court held that the Law School’s use of affirmative action was constitutional under the Equal Protection Clause.</w:t>
      </w:r>
      <w:r w:rsidRPr="00BA1F28">
        <w:rPr>
          <w:rStyle w:val="FootnoteReference"/>
          <w:rFonts w:ascii="Times New Roman" w:hAnsi="Times New Roman" w:cs="Times New Roman"/>
        </w:rPr>
        <w:footnoteReference w:id="22"/>
      </w:r>
      <w:r w:rsidRPr="00BA1F28">
        <w:rPr>
          <w:rFonts w:ascii="Times New Roman" w:hAnsi="Times New Roman" w:cs="Times New Roman"/>
        </w:rPr>
        <w:t xml:space="preserve">  </w:t>
      </w:r>
    </w:p>
    <w:p w14:paraId="78E2B54C" w14:textId="7BAE4742" w:rsidR="00314EF1" w:rsidRPr="00BA1F28" w:rsidRDefault="00962F24" w:rsidP="009C23CA">
      <w:pPr>
        <w:spacing w:line="480" w:lineRule="auto"/>
        <w:jc w:val="both"/>
        <w:rPr>
          <w:rFonts w:ascii="Times New Roman" w:hAnsi="Times New Roman" w:cs="Times New Roman"/>
        </w:rPr>
      </w:pPr>
      <w:r w:rsidRPr="00BA1F28">
        <w:rPr>
          <w:rFonts w:ascii="Times New Roman" w:hAnsi="Times New Roman" w:cs="Times New Roman"/>
        </w:rPr>
        <w:tab/>
      </w:r>
      <w:r w:rsidR="00F03DEF" w:rsidRPr="00BA1F28">
        <w:rPr>
          <w:rFonts w:ascii="Times New Roman" w:hAnsi="Times New Roman" w:cs="Times New Roman"/>
        </w:rPr>
        <w:t xml:space="preserve">The </w:t>
      </w:r>
      <w:r w:rsidR="00F03DEF" w:rsidRPr="00BA1F28">
        <w:rPr>
          <w:rFonts w:ascii="Times New Roman" w:hAnsi="Times New Roman" w:cs="Times New Roman"/>
          <w:u w:val="single"/>
        </w:rPr>
        <w:t>Grutter</w:t>
      </w:r>
      <w:r w:rsidR="00F03DEF" w:rsidRPr="00BA1F28">
        <w:rPr>
          <w:rFonts w:ascii="Times New Roman" w:hAnsi="Times New Roman" w:cs="Times New Roman"/>
        </w:rPr>
        <w:t xml:space="preserve"> </w:t>
      </w:r>
      <w:r w:rsidR="006341AE" w:rsidRPr="00BA1F28">
        <w:rPr>
          <w:rFonts w:ascii="Times New Roman" w:hAnsi="Times New Roman" w:cs="Times New Roman"/>
        </w:rPr>
        <w:t>case</w:t>
      </w:r>
      <w:r w:rsidR="00F03DEF" w:rsidRPr="00BA1F28">
        <w:rPr>
          <w:rFonts w:ascii="Times New Roman" w:hAnsi="Times New Roman" w:cs="Times New Roman"/>
        </w:rPr>
        <w:t xml:space="preserve"> was </w:t>
      </w:r>
      <w:r w:rsidR="006341AE" w:rsidRPr="00BA1F28">
        <w:rPr>
          <w:rFonts w:ascii="Times New Roman" w:hAnsi="Times New Roman" w:cs="Times New Roman"/>
        </w:rPr>
        <w:t xml:space="preserve">decided </w:t>
      </w:r>
      <w:r w:rsidR="00F03DEF" w:rsidRPr="00BA1F28">
        <w:rPr>
          <w:rFonts w:ascii="Times New Roman" w:hAnsi="Times New Roman" w:cs="Times New Roman"/>
        </w:rPr>
        <w:t>simultaneous</w:t>
      </w:r>
      <w:r w:rsidR="006341AE" w:rsidRPr="00BA1F28">
        <w:rPr>
          <w:rFonts w:ascii="Times New Roman" w:hAnsi="Times New Roman" w:cs="Times New Roman"/>
        </w:rPr>
        <w:t>ly with</w:t>
      </w:r>
      <w:r w:rsidR="00F03DEF" w:rsidRPr="00BA1F28">
        <w:rPr>
          <w:rFonts w:ascii="Times New Roman" w:hAnsi="Times New Roman" w:cs="Times New Roman"/>
        </w:rPr>
        <w:t xml:space="preserve"> </w:t>
      </w:r>
      <w:r w:rsidR="00F03DEF" w:rsidRPr="00BA1F28">
        <w:rPr>
          <w:rFonts w:ascii="Times New Roman" w:hAnsi="Times New Roman" w:cs="Times New Roman"/>
          <w:u w:val="single"/>
        </w:rPr>
        <w:t>Gratz v. Bollinger</w:t>
      </w:r>
      <w:r w:rsidR="00F03DEF" w:rsidRPr="00BA1F28">
        <w:rPr>
          <w:rFonts w:ascii="Times New Roman" w:hAnsi="Times New Roman" w:cs="Times New Roman"/>
        </w:rPr>
        <w:t xml:space="preserve">. In </w:t>
      </w:r>
      <w:r w:rsidR="00F03DEF" w:rsidRPr="00BA1F28">
        <w:rPr>
          <w:rFonts w:ascii="Times New Roman" w:hAnsi="Times New Roman" w:cs="Times New Roman"/>
          <w:u w:val="single"/>
        </w:rPr>
        <w:t>Gratz</w:t>
      </w:r>
      <w:r w:rsidRPr="00BA1F28">
        <w:rPr>
          <w:rFonts w:ascii="Times New Roman" w:hAnsi="Times New Roman" w:cs="Times New Roman"/>
        </w:rPr>
        <w:t xml:space="preserve">, </w:t>
      </w:r>
      <w:r w:rsidR="00E05FAB" w:rsidRPr="00BA1F28">
        <w:rPr>
          <w:rFonts w:ascii="Times New Roman" w:hAnsi="Times New Roman" w:cs="Times New Roman"/>
        </w:rPr>
        <w:t>petitioners, both white Michigan residents, filed suit after being denied admission to the University of Michigan’s College of Literature, Science, and the Arts</w:t>
      </w:r>
      <w:r w:rsidR="00F03DEF" w:rsidRPr="00BA1F28">
        <w:rPr>
          <w:rFonts w:ascii="Times New Roman" w:hAnsi="Times New Roman" w:cs="Times New Roman"/>
        </w:rPr>
        <w:t xml:space="preserve"> [“LSA”]</w:t>
      </w:r>
      <w:r w:rsidR="00E05FAB" w:rsidRPr="00BA1F28">
        <w:rPr>
          <w:rFonts w:ascii="Times New Roman" w:hAnsi="Times New Roman" w:cs="Times New Roman"/>
        </w:rPr>
        <w:t>.</w:t>
      </w:r>
      <w:r w:rsidR="00E05FAB" w:rsidRPr="00BA1F28">
        <w:rPr>
          <w:rStyle w:val="FootnoteReference"/>
          <w:rFonts w:ascii="Times New Roman" w:hAnsi="Times New Roman" w:cs="Times New Roman"/>
        </w:rPr>
        <w:footnoteReference w:id="23"/>
      </w:r>
      <w:r w:rsidR="00F03DEF" w:rsidRPr="00BA1F28">
        <w:rPr>
          <w:rFonts w:ascii="Times New Roman" w:hAnsi="Times New Roman" w:cs="Times New Roman"/>
        </w:rPr>
        <w:t xml:space="preserve"> Applying the same strict scrutiny </w:t>
      </w:r>
      <w:r w:rsidR="003A528A" w:rsidRPr="00BA1F28">
        <w:rPr>
          <w:rFonts w:ascii="Times New Roman" w:hAnsi="Times New Roman" w:cs="Times New Roman"/>
        </w:rPr>
        <w:t xml:space="preserve">level of </w:t>
      </w:r>
      <w:r w:rsidR="00F03DEF" w:rsidRPr="00BA1F28">
        <w:rPr>
          <w:rFonts w:ascii="Times New Roman" w:hAnsi="Times New Roman" w:cs="Times New Roman"/>
        </w:rPr>
        <w:t>Equal Protection analysis, the Court held that the LSA’s race-conscious admissions policy was unconstitutional because</w:t>
      </w:r>
      <w:r w:rsidR="00026FAA" w:rsidRPr="00BA1F28">
        <w:rPr>
          <w:rFonts w:ascii="Times New Roman" w:hAnsi="Times New Roman" w:cs="Times New Roman"/>
        </w:rPr>
        <w:t xml:space="preserve"> it was not narrowly tailored to further </w:t>
      </w:r>
      <w:r w:rsidR="007F1EBC" w:rsidRPr="00BA1F28">
        <w:rPr>
          <w:rFonts w:ascii="Times New Roman" w:hAnsi="Times New Roman" w:cs="Times New Roman"/>
        </w:rPr>
        <w:t>the admittedly</w:t>
      </w:r>
      <w:r w:rsidR="003A528A" w:rsidRPr="00BA1F28">
        <w:rPr>
          <w:rFonts w:ascii="Times New Roman" w:hAnsi="Times New Roman" w:cs="Times New Roman"/>
        </w:rPr>
        <w:t xml:space="preserve"> </w:t>
      </w:r>
      <w:r w:rsidR="00026FAA" w:rsidRPr="00BA1F28">
        <w:rPr>
          <w:rFonts w:ascii="Times New Roman" w:hAnsi="Times New Roman" w:cs="Times New Roman"/>
        </w:rPr>
        <w:t>compelling government interest in</w:t>
      </w:r>
      <w:r w:rsidR="003A528A" w:rsidRPr="00BA1F28">
        <w:rPr>
          <w:rFonts w:ascii="Times New Roman" w:hAnsi="Times New Roman" w:cs="Times New Roman"/>
        </w:rPr>
        <w:t xml:space="preserve"> furthering</w:t>
      </w:r>
      <w:r w:rsidR="00026FAA" w:rsidRPr="00BA1F28">
        <w:rPr>
          <w:rFonts w:ascii="Times New Roman" w:hAnsi="Times New Roman" w:cs="Times New Roman"/>
        </w:rPr>
        <w:t xml:space="preserve"> educational diversity.</w:t>
      </w:r>
      <w:r w:rsidR="00314EF1" w:rsidRPr="00BA1F28">
        <w:rPr>
          <w:rStyle w:val="FootnoteReference"/>
          <w:rFonts w:ascii="Times New Roman" w:hAnsi="Times New Roman" w:cs="Times New Roman"/>
        </w:rPr>
        <w:footnoteReference w:id="24"/>
      </w:r>
      <w:r w:rsidR="00026FAA" w:rsidRPr="00BA1F28">
        <w:rPr>
          <w:rFonts w:ascii="Times New Roman" w:hAnsi="Times New Roman" w:cs="Times New Roman"/>
        </w:rPr>
        <w:t xml:space="preserve"> U</w:t>
      </w:r>
      <w:r w:rsidR="00F03DEF" w:rsidRPr="00BA1F28">
        <w:rPr>
          <w:rFonts w:ascii="Times New Roman" w:hAnsi="Times New Roman" w:cs="Times New Roman"/>
        </w:rPr>
        <w:t>nlike the Law School’s flexible policy, the “LSA policy does not provide [for] individualized consideration.”</w:t>
      </w:r>
      <w:r w:rsidR="00F03DEF" w:rsidRPr="00BA1F28">
        <w:rPr>
          <w:rStyle w:val="FootnoteReference"/>
          <w:rFonts w:ascii="Times New Roman" w:hAnsi="Times New Roman" w:cs="Times New Roman"/>
        </w:rPr>
        <w:footnoteReference w:id="25"/>
      </w:r>
      <w:r w:rsidR="00F03DEF" w:rsidRPr="00BA1F28">
        <w:rPr>
          <w:rFonts w:ascii="Times New Roman" w:hAnsi="Times New Roman" w:cs="Times New Roman"/>
        </w:rPr>
        <w:t xml:space="preserve"> Whereas the Law School policy ensured that race was only a ‘plus’ factor that did not become a defining feature of an applicant’</w:t>
      </w:r>
      <w:r w:rsidR="007F1EBC" w:rsidRPr="00BA1F28">
        <w:rPr>
          <w:rFonts w:ascii="Times New Roman" w:hAnsi="Times New Roman" w:cs="Times New Roman"/>
        </w:rPr>
        <w:t xml:space="preserve">s file, the </w:t>
      </w:r>
      <w:r w:rsidR="00F03DEF" w:rsidRPr="00BA1F28">
        <w:rPr>
          <w:rFonts w:ascii="Times New Roman" w:hAnsi="Times New Roman" w:cs="Times New Roman"/>
        </w:rPr>
        <w:t xml:space="preserve">“LSA’s policy automatically </w:t>
      </w:r>
      <w:r w:rsidR="00F03DEF" w:rsidRPr="00BA1F28">
        <w:rPr>
          <w:rFonts w:ascii="Times New Roman" w:hAnsi="Times New Roman" w:cs="Times New Roman"/>
        </w:rPr>
        <w:lastRenderedPageBreak/>
        <w:t>distributed 20 points to every single applicant from an ‘underrepresented minority’ group</w:t>
      </w:r>
      <w:r w:rsidR="00582124" w:rsidRPr="00BA1F28">
        <w:rPr>
          <w:rFonts w:ascii="Times New Roman" w:hAnsi="Times New Roman" w:cs="Times New Roman"/>
        </w:rPr>
        <w:t>”</w:t>
      </w:r>
      <w:r w:rsidR="00F03DEF" w:rsidRPr="00BA1F28">
        <w:rPr>
          <w:rStyle w:val="FootnoteReference"/>
          <w:rFonts w:ascii="Times New Roman" w:hAnsi="Times New Roman" w:cs="Times New Roman"/>
        </w:rPr>
        <w:footnoteReference w:id="26"/>
      </w:r>
      <w:r w:rsidR="007F1EBC" w:rsidRPr="00BA1F28">
        <w:rPr>
          <w:rFonts w:ascii="Times New Roman" w:hAnsi="Times New Roman" w:cs="Times New Roman"/>
        </w:rPr>
        <w:t xml:space="preserve"> and thus made race a decisive factor in admissions.</w:t>
      </w:r>
      <w:r w:rsidR="00026FAA" w:rsidRPr="00BA1F28">
        <w:rPr>
          <w:rStyle w:val="FootnoteReference"/>
          <w:rFonts w:ascii="Times New Roman" w:hAnsi="Times New Roman" w:cs="Times New Roman"/>
        </w:rPr>
        <w:footnoteReference w:id="27"/>
      </w:r>
      <w:r w:rsidR="00026FAA" w:rsidRPr="00BA1F28">
        <w:rPr>
          <w:rFonts w:ascii="Times New Roman" w:hAnsi="Times New Roman" w:cs="Times New Roman"/>
        </w:rPr>
        <w:t xml:space="preserve"> </w:t>
      </w:r>
    </w:p>
    <w:p w14:paraId="2D30A227" w14:textId="77777777" w:rsidR="00F65697" w:rsidRPr="00BA1F28" w:rsidRDefault="0064710E" w:rsidP="009C23CA">
      <w:pPr>
        <w:spacing w:line="480" w:lineRule="auto"/>
        <w:jc w:val="both"/>
        <w:rPr>
          <w:rFonts w:ascii="Times New Roman" w:hAnsi="Times New Roman" w:cs="Times New Roman"/>
        </w:rPr>
      </w:pPr>
      <w:r w:rsidRPr="00BA1F28">
        <w:rPr>
          <w:rFonts w:ascii="Times New Roman" w:hAnsi="Times New Roman" w:cs="Times New Roman"/>
        </w:rPr>
        <w:tab/>
        <w:t>From both these decisions it is clear that: (</w:t>
      </w:r>
      <w:proofErr w:type="spellStart"/>
      <w:r w:rsidRPr="00BA1F28">
        <w:rPr>
          <w:rFonts w:ascii="Times New Roman" w:hAnsi="Times New Roman" w:cs="Times New Roman"/>
        </w:rPr>
        <w:t>i</w:t>
      </w:r>
      <w:proofErr w:type="spellEnd"/>
      <w:r w:rsidRPr="00BA1F28">
        <w:rPr>
          <w:rFonts w:ascii="Times New Roman" w:hAnsi="Times New Roman" w:cs="Times New Roman"/>
        </w:rPr>
        <w:t>) any race-conscious admission program will trigger strict scrutiny</w:t>
      </w:r>
      <w:r w:rsidR="00146F66" w:rsidRPr="00BA1F28">
        <w:rPr>
          <w:rFonts w:ascii="Times New Roman" w:hAnsi="Times New Roman" w:cs="Times New Roman"/>
        </w:rPr>
        <w:t>;</w:t>
      </w:r>
      <w:r w:rsidRPr="00BA1F28">
        <w:rPr>
          <w:rFonts w:ascii="Times New Roman" w:hAnsi="Times New Roman" w:cs="Times New Roman"/>
        </w:rPr>
        <w:t xml:space="preserve"> (ii) </w:t>
      </w:r>
      <w:r w:rsidR="00146F66" w:rsidRPr="00BA1F28">
        <w:rPr>
          <w:rFonts w:ascii="Times New Roman" w:hAnsi="Times New Roman" w:cs="Times New Roman"/>
        </w:rPr>
        <w:t xml:space="preserve">obtaining the education benefits that flow from a diverse student body is a compelling government interest; (iii) assuring that a student body has a specific percentage of students based on race or ethnicity is not a compelling government interest; (iv) with respect to the means prong of the Equal Protection inquiry, a quota system is patently unconstitutional; (v) a flexible race-conscious admissions policy that uses race as a ‘plus’ factor that does not define an applicant’s file is narrowly tailored </w:t>
      </w:r>
      <w:r w:rsidR="00261A32" w:rsidRPr="00BA1F28">
        <w:rPr>
          <w:rFonts w:ascii="Times New Roman" w:hAnsi="Times New Roman" w:cs="Times New Roman"/>
        </w:rPr>
        <w:t xml:space="preserve">to </w:t>
      </w:r>
      <w:r w:rsidR="00146F66" w:rsidRPr="00BA1F28">
        <w:rPr>
          <w:rFonts w:ascii="Times New Roman" w:hAnsi="Times New Roman" w:cs="Times New Roman"/>
        </w:rPr>
        <w:t xml:space="preserve">the government’s compelling interest in furthering educational </w:t>
      </w:r>
      <w:r w:rsidR="00261A32" w:rsidRPr="00BA1F28">
        <w:rPr>
          <w:rFonts w:ascii="Times New Roman" w:hAnsi="Times New Roman" w:cs="Times New Roman"/>
        </w:rPr>
        <w:t>diversity;</w:t>
      </w:r>
      <w:r w:rsidR="00146F66" w:rsidRPr="00BA1F28">
        <w:rPr>
          <w:rFonts w:ascii="Times New Roman" w:hAnsi="Times New Roman" w:cs="Times New Roman"/>
        </w:rPr>
        <w:t xml:space="preserve"> and (vi) an admissions policy that awards mechanical predetermined diversity bonuses based on race or ethnicity is not narrowly tailored to the government’s compelling interest in furthering educational diversity.  </w:t>
      </w:r>
    </w:p>
    <w:p w14:paraId="01633E6C" w14:textId="3DC97F6B" w:rsidR="00E91DDF" w:rsidRPr="00BA1F28" w:rsidRDefault="00597B03" w:rsidP="009C23CA">
      <w:pPr>
        <w:pStyle w:val="ListParagraph"/>
        <w:numPr>
          <w:ilvl w:val="0"/>
          <w:numId w:val="5"/>
        </w:numPr>
        <w:spacing w:line="480" w:lineRule="auto"/>
        <w:jc w:val="both"/>
        <w:rPr>
          <w:rFonts w:ascii="Times New Roman" w:hAnsi="Times New Roman" w:cs="Times New Roman"/>
        </w:rPr>
      </w:pPr>
      <w:r w:rsidRPr="00BA1F28">
        <w:rPr>
          <w:rFonts w:ascii="Times New Roman" w:hAnsi="Times New Roman" w:cs="Times New Roman"/>
          <w:u w:val="single"/>
        </w:rPr>
        <w:t>Affirmative Action in India</w:t>
      </w:r>
    </w:p>
    <w:p w14:paraId="54210E54" w14:textId="05C4CE57" w:rsidR="00505E62" w:rsidRPr="00BA1F28" w:rsidRDefault="00E91DDF" w:rsidP="009C23CA">
      <w:pPr>
        <w:spacing w:line="480" w:lineRule="auto"/>
        <w:ind w:firstLine="720"/>
        <w:jc w:val="both"/>
        <w:rPr>
          <w:rFonts w:ascii="Times New Roman" w:hAnsi="Times New Roman" w:cs="Times New Roman"/>
        </w:rPr>
      </w:pPr>
      <w:r w:rsidRPr="00BA1F28">
        <w:rPr>
          <w:rFonts w:ascii="Times New Roman" w:hAnsi="Times New Roman" w:cs="Times New Roman"/>
        </w:rPr>
        <w:t>The Constitution of India, which came into force in 1950, “was one of</w:t>
      </w:r>
      <w:r w:rsidR="00A1068B" w:rsidRPr="00BA1F28">
        <w:rPr>
          <w:rFonts w:ascii="Times New Roman" w:hAnsi="Times New Roman" w:cs="Times New Roman"/>
        </w:rPr>
        <w:t xml:space="preserve"> the earliest constitutions to expressly incorporate provisions for affirmative action, in the form of ‘reservations’ of a proportion of university places or public sector jobs.</w:t>
      </w:r>
      <w:r w:rsidRPr="00BA1F28">
        <w:rPr>
          <w:rFonts w:ascii="Times New Roman" w:hAnsi="Times New Roman" w:cs="Times New Roman"/>
        </w:rPr>
        <w:t>”</w:t>
      </w:r>
      <w:r w:rsidR="00A1068B" w:rsidRPr="00BA1F28">
        <w:rPr>
          <w:rStyle w:val="FootnoteReference"/>
          <w:rFonts w:ascii="Times New Roman" w:hAnsi="Times New Roman" w:cs="Times New Roman"/>
        </w:rPr>
        <w:footnoteReference w:id="28"/>
      </w:r>
      <w:r w:rsidR="009461B7" w:rsidRPr="00BA1F28">
        <w:rPr>
          <w:rFonts w:ascii="Times New Roman" w:hAnsi="Times New Roman" w:cs="Times New Roman"/>
        </w:rPr>
        <w:t xml:space="preserve"> </w:t>
      </w:r>
      <w:r w:rsidR="00505E62" w:rsidRPr="00BA1F28">
        <w:rPr>
          <w:rFonts w:ascii="Times New Roman" w:hAnsi="Times New Roman" w:cs="Times New Roman"/>
        </w:rPr>
        <w:t xml:space="preserve">Such reservations are permissible because the Supreme Court of India </w:t>
      </w:r>
      <w:r w:rsidR="000671F0" w:rsidRPr="00BA1F28">
        <w:rPr>
          <w:rFonts w:ascii="Times New Roman" w:hAnsi="Times New Roman" w:cs="Times New Roman"/>
        </w:rPr>
        <w:t xml:space="preserve">has interpreted the Constitution of India’s </w:t>
      </w:r>
      <w:r w:rsidR="000671F0" w:rsidRPr="00BA1F28">
        <w:rPr>
          <w:rFonts w:ascii="Times New Roman" w:hAnsi="Times New Roman" w:cs="Times New Roman"/>
        </w:rPr>
        <w:lastRenderedPageBreak/>
        <w:t xml:space="preserve">equality </w:t>
      </w:r>
      <w:r w:rsidR="0072121F" w:rsidRPr="00BA1F28">
        <w:rPr>
          <w:rFonts w:ascii="Times New Roman" w:hAnsi="Times New Roman" w:cs="Times New Roman"/>
        </w:rPr>
        <w:t>and non-discrimination provisions as allowing for affirmative action as a means of achieving equality.</w:t>
      </w:r>
      <w:r w:rsidR="0072121F" w:rsidRPr="00BA1F28">
        <w:rPr>
          <w:rStyle w:val="FootnoteReference"/>
          <w:rFonts w:ascii="Times New Roman" w:hAnsi="Times New Roman" w:cs="Times New Roman"/>
        </w:rPr>
        <w:footnoteReference w:id="29"/>
      </w:r>
      <w:r w:rsidR="0072121F" w:rsidRPr="00BA1F28">
        <w:rPr>
          <w:rFonts w:ascii="Times New Roman" w:hAnsi="Times New Roman" w:cs="Times New Roman"/>
        </w:rPr>
        <w:t xml:space="preserve"> </w:t>
      </w:r>
    </w:p>
    <w:p w14:paraId="392D6D32" w14:textId="18041B26" w:rsidR="00826A24" w:rsidRPr="00BA1F28" w:rsidRDefault="00BD0E3B" w:rsidP="009C23CA">
      <w:pPr>
        <w:spacing w:line="480" w:lineRule="auto"/>
        <w:ind w:firstLine="720"/>
        <w:jc w:val="both"/>
        <w:rPr>
          <w:rFonts w:ascii="Times New Roman" w:eastAsia="Times New Roman" w:hAnsi="Times New Roman" w:cs="Times New Roman"/>
        </w:rPr>
      </w:pPr>
      <w:r w:rsidRPr="00BA1F28">
        <w:rPr>
          <w:rFonts w:ascii="Times New Roman" w:hAnsi="Times New Roman" w:cs="Times New Roman"/>
        </w:rPr>
        <w:t>The India Constitution has several Articles guaranteeing rights to equality</w:t>
      </w:r>
      <w:r w:rsidR="0072121F" w:rsidRPr="00BA1F28">
        <w:rPr>
          <w:rFonts w:ascii="Times New Roman" w:hAnsi="Times New Roman" w:cs="Times New Roman"/>
        </w:rPr>
        <w:t xml:space="preserve"> and non-discrimination</w:t>
      </w:r>
      <w:r w:rsidRPr="00BA1F28">
        <w:rPr>
          <w:rFonts w:ascii="Times New Roman" w:hAnsi="Times New Roman" w:cs="Times New Roman"/>
        </w:rPr>
        <w:t xml:space="preserve">. The two </w:t>
      </w:r>
      <w:r w:rsidR="0072121F" w:rsidRPr="00BA1F28">
        <w:rPr>
          <w:rFonts w:ascii="Times New Roman" w:hAnsi="Times New Roman" w:cs="Times New Roman"/>
        </w:rPr>
        <w:t xml:space="preserve">most </w:t>
      </w:r>
      <w:r w:rsidRPr="00BA1F28">
        <w:rPr>
          <w:rFonts w:ascii="Times New Roman" w:hAnsi="Times New Roman" w:cs="Times New Roman"/>
        </w:rPr>
        <w:t>significant provisions provide for equality that is similar to the protection</w:t>
      </w:r>
      <w:r w:rsidR="0072121F" w:rsidRPr="00BA1F28">
        <w:rPr>
          <w:rFonts w:ascii="Times New Roman" w:hAnsi="Times New Roman" w:cs="Times New Roman"/>
        </w:rPr>
        <w:t>s</w:t>
      </w:r>
      <w:r w:rsidRPr="00BA1F28">
        <w:rPr>
          <w:rFonts w:ascii="Times New Roman" w:hAnsi="Times New Roman" w:cs="Times New Roman"/>
        </w:rPr>
        <w:t xml:space="preserve"> guaranteed by the Equal Protection Clause of the United States. Article 14 provides for equality before the law,</w:t>
      </w:r>
      <w:r w:rsidRPr="00BA1F28">
        <w:rPr>
          <w:rStyle w:val="FootnoteReference"/>
          <w:rFonts w:ascii="Times New Roman" w:hAnsi="Times New Roman" w:cs="Times New Roman"/>
        </w:rPr>
        <w:footnoteReference w:id="30"/>
      </w:r>
      <w:r w:rsidRPr="00BA1F28">
        <w:rPr>
          <w:rFonts w:ascii="Times New Roman" w:hAnsi="Times New Roman" w:cs="Times New Roman"/>
        </w:rPr>
        <w:t xml:space="preserve"> and Article 15</w:t>
      </w:r>
      <w:r w:rsidR="0072121F" w:rsidRPr="00BA1F28">
        <w:rPr>
          <w:rFonts w:ascii="Times New Roman" w:hAnsi="Times New Roman" w:cs="Times New Roman"/>
        </w:rPr>
        <w:t>(1)</w:t>
      </w:r>
      <w:r w:rsidRPr="00BA1F28">
        <w:rPr>
          <w:rFonts w:ascii="Times New Roman" w:hAnsi="Times New Roman" w:cs="Times New Roman"/>
        </w:rPr>
        <w:t xml:space="preserve"> provides that “</w:t>
      </w:r>
      <w:r w:rsidRPr="00BA1F28">
        <w:rPr>
          <w:rFonts w:ascii="Times New Roman" w:eastAsia="Times New Roman" w:hAnsi="Times New Roman" w:cs="Times New Roman"/>
        </w:rPr>
        <w:t>[t]he State shall not discriminate against any citizen on grounds only of religion, race, caste, sex, place of birth or any of them.”</w:t>
      </w:r>
      <w:r w:rsidRPr="00BA1F28">
        <w:rPr>
          <w:rStyle w:val="FootnoteReference"/>
          <w:rFonts w:ascii="Times New Roman" w:eastAsia="Times New Roman" w:hAnsi="Times New Roman" w:cs="Times New Roman"/>
        </w:rPr>
        <w:footnoteReference w:id="31"/>
      </w:r>
      <w:r w:rsidRPr="00BA1F28">
        <w:rPr>
          <w:rFonts w:ascii="Times New Roman" w:hAnsi="Times New Roman" w:cs="Times New Roman"/>
        </w:rPr>
        <w:t xml:space="preserve"> While this may seem similar the US Equal Protection Clause</w:t>
      </w:r>
      <w:r w:rsidR="00460DC9" w:rsidRPr="00BA1F28">
        <w:rPr>
          <w:rFonts w:ascii="Times New Roman" w:hAnsi="Times New Roman" w:cs="Times New Roman"/>
        </w:rPr>
        <w:t>, it is significantly different</w:t>
      </w:r>
      <w:r w:rsidRPr="00BA1F28">
        <w:rPr>
          <w:rFonts w:ascii="Times New Roman" w:hAnsi="Times New Roman" w:cs="Times New Roman"/>
        </w:rPr>
        <w:t xml:space="preserve"> </w:t>
      </w:r>
      <w:r w:rsidR="00826A24" w:rsidRPr="00BA1F28">
        <w:rPr>
          <w:rFonts w:ascii="Times New Roman" w:hAnsi="Times New Roman" w:cs="Times New Roman"/>
        </w:rPr>
        <w:t>since a further provision in</w:t>
      </w:r>
      <w:r w:rsidRPr="00BA1F28">
        <w:rPr>
          <w:rFonts w:ascii="Times New Roman" w:hAnsi="Times New Roman" w:cs="Times New Roman"/>
        </w:rPr>
        <w:t xml:space="preserve"> Article</w:t>
      </w:r>
      <w:r w:rsidR="00826A24" w:rsidRPr="00BA1F28">
        <w:rPr>
          <w:rFonts w:ascii="Times New Roman" w:hAnsi="Times New Roman" w:cs="Times New Roman"/>
        </w:rPr>
        <w:t xml:space="preserve"> 15</w:t>
      </w:r>
      <w:r w:rsidR="00487FCD" w:rsidRPr="00BA1F28">
        <w:rPr>
          <w:rFonts w:ascii="Times New Roman" w:hAnsi="Times New Roman" w:cs="Times New Roman"/>
        </w:rPr>
        <w:t xml:space="preserve"> </w:t>
      </w:r>
      <w:r w:rsidRPr="00BA1F28">
        <w:rPr>
          <w:rFonts w:ascii="Times New Roman" w:hAnsi="Times New Roman" w:cs="Times New Roman"/>
        </w:rPr>
        <w:t xml:space="preserve">provides that </w:t>
      </w:r>
      <w:r w:rsidR="005D298F" w:rsidRPr="00BA1F28">
        <w:rPr>
          <w:rFonts w:ascii="Times New Roman" w:hAnsi="Times New Roman" w:cs="Times New Roman"/>
        </w:rPr>
        <w:t>“</w:t>
      </w:r>
      <w:r w:rsidR="005D298F" w:rsidRPr="00BA1F28">
        <w:rPr>
          <w:rFonts w:ascii="Times New Roman" w:eastAsia="Times New Roman" w:hAnsi="Times New Roman" w:cs="Times New Roman"/>
        </w:rPr>
        <w:t>[n]</w:t>
      </w:r>
      <w:proofErr w:type="spellStart"/>
      <w:r w:rsidR="005D298F" w:rsidRPr="00BA1F28">
        <w:rPr>
          <w:rFonts w:ascii="Times New Roman" w:eastAsia="Times New Roman" w:hAnsi="Times New Roman" w:cs="Times New Roman"/>
        </w:rPr>
        <w:t>othing</w:t>
      </w:r>
      <w:proofErr w:type="spellEnd"/>
      <w:r w:rsidR="005D298F" w:rsidRPr="00BA1F28">
        <w:rPr>
          <w:rFonts w:ascii="Times New Roman" w:eastAsia="Times New Roman" w:hAnsi="Times New Roman" w:cs="Times New Roman"/>
        </w:rPr>
        <w:t xml:space="preserve"> in this article [] shall prevent the State from making any special provision for the advancement of any socially and educationally backward classes of citizens or for the Scheduled Castes and the Scheduled Tribes.”</w:t>
      </w:r>
      <w:r w:rsidR="005D298F" w:rsidRPr="00BA1F28">
        <w:rPr>
          <w:rStyle w:val="FootnoteReference"/>
          <w:rFonts w:ascii="Times New Roman" w:eastAsia="Times New Roman" w:hAnsi="Times New Roman" w:cs="Times New Roman"/>
        </w:rPr>
        <w:footnoteReference w:id="32"/>
      </w:r>
      <w:r w:rsidR="00505E62" w:rsidRPr="00BA1F28">
        <w:rPr>
          <w:rFonts w:ascii="Times New Roman" w:eastAsia="Times New Roman" w:hAnsi="Times New Roman" w:cs="Times New Roman"/>
        </w:rPr>
        <w:t xml:space="preserve"> </w:t>
      </w:r>
    </w:p>
    <w:p w14:paraId="2F68A7CB" w14:textId="779152A1" w:rsidR="00826A24" w:rsidRPr="00BA1F28" w:rsidRDefault="0072121F" w:rsidP="009C23CA">
      <w:pPr>
        <w:spacing w:line="480" w:lineRule="auto"/>
        <w:ind w:firstLine="720"/>
        <w:jc w:val="both"/>
        <w:rPr>
          <w:rFonts w:ascii="Times New Roman" w:eastAsia="Times New Roman" w:hAnsi="Times New Roman" w:cs="Times New Roman"/>
        </w:rPr>
      </w:pPr>
      <w:r w:rsidRPr="00BA1F28">
        <w:rPr>
          <w:rFonts w:ascii="Times New Roman" w:eastAsia="Times New Roman" w:hAnsi="Times New Roman" w:cs="Times New Roman"/>
        </w:rPr>
        <w:t>This caveat to Article 15(1) was expanded further in 2005, when an addition</w:t>
      </w:r>
      <w:r w:rsidR="00C96C3C">
        <w:rPr>
          <w:rFonts w:ascii="Times New Roman" w:eastAsia="Times New Roman" w:hAnsi="Times New Roman" w:cs="Times New Roman"/>
        </w:rPr>
        <w:t>al</w:t>
      </w:r>
      <w:r w:rsidRPr="00BA1F28">
        <w:rPr>
          <w:rFonts w:ascii="Times New Roman" w:eastAsia="Times New Roman" w:hAnsi="Times New Roman" w:cs="Times New Roman"/>
        </w:rPr>
        <w:t xml:space="preserve"> provision was inserted by </w:t>
      </w:r>
      <w:r w:rsidR="005330E3" w:rsidRPr="00BA1F28">
        <w:rPr>
          <w:rFonts w:ascii="Times New Roman" w:eastAsia="Times New Roman" w:hAnsi="Times New Roman" w:cs="Times New Roman"/>
        </w:rPr>
        <w:t>the Constitution (Ninety-Third) Amendment Act,</w:t>
      </w:r>
      <w:r w:rsidRPr="00BA1F28">
        <w:rPr>
          <w:rFonts w:ascii="Times New Roman" w:eastAsia="Times New Roman" w:hAnsi="Times New Roman" w:cs="Times New Roman"/>
        </w:rPr>
        <w:t xml:space="preserve"> 2005 </w:t>
      </w:r>
      <w:r w:rsidR="005330E3" w:rsidRPr="00BA1F28">
        <w:rPr>
          <w:rFonts w:ascii="Times New Roman" w:eastAsia="Times New Roman" w:hAnsi="Times New Roman" w:cs="Times New Roman"/>
        </w:rPr>
        <w:t xml:space="preserve">(“Amendment Act”) </w:t>
      </w:r>
      <w:r w:rsidRPr="00BA1F28">
        <w:rPr>
          <w:rFonts w:ascii="Times New Roman" w:eastAsia="Times New Roman" w:hAnsi="Times New Roman" w:cs="Times New Roman"/>
        </w:rPr>
        <w:t xml:space="preserve">that specifically addressed affirmative action in the educational context. Article 15(5) reads: </w:t>
      </w:r>
    </w:p>
    <w:p w14:paraId="00D70680" w14:textId="3A00F5BF" w:rsidR="00505E62" w:rsidRPr="00556368" w:rsidRDefault="0072121F" w:rsidP="009C23CA">
      <w:pPr>
        <w:spacing w:line="480" w:lineRule="auto"/>
        <w:ind w:left="1440" w:right="1440"/>
        <w:jc w:val="both"/>
        <w:rPr>
          <w:rFonts w:ascii="Times New Roman" w:eastAsia="Times New Roman" w:hAnsi="Times New Roman" w:cs="Times New Roman"/>
          <w:sz w:val="20"/>
          <w:szCs w:val="20"/>
        </w:rPr>
      </w:pPr>
      <w:r w:rsidRPr="00556368">
        <w:rPr>
          <w:rFonts w:ascii="Times New Roman" w:eastAsia="Times New Roman" w:hAnsi="Times New Roman" w:cs="Times New Roman"/>
          <w:sz w:val="20"/>
          <w:szCs w:val="20"/>
        </w:rPr>
        <w:t>[n]</w:t>
      </w:r>
      <w:proofErr w:type="spellStart"/>
      <w:r w:rsidRPr="00556368">
        <w:rPr>
          <w:rFonts w:ascii="Times New Roman" w:eastAsia="Times New Roman" w:hAnsi="Times New Roman" w:cs="Times New Roman"/>
          <w:sz w:val="20"/>
          <w:szCs w:val="20"/>
        </w:rPr>
        <w:t>othing</w:t>
      </w:r>
      <w:proofErr w:type="spellEnd"/>
      <w:r w:rsidRPr="00556368">
        <w:rPr>
          <w:rFonts w:ascii="Times New Roman" w:eastAsia="Times New Roman" w:hAnsi="Times New Roman" w:cs="Times New Roman"/>
          <w:sz w:val="20"/>
          <w:szCs w:val="20"/>
        </w:rPr>
        <w:t xml:space="preserve"> in this article [] shall prevent the State from making any special provision, by law, for the advancement of any socially and educationally backward classes of citizens or for the Scheduled Castes or the Scheduled Tribes in so far as such special provisions relate to their admission to educational institutions including private educational institutions, whether aided or unaided by the State[.]</w:t>
      </w:r>
      <w:r w:rsidRPr="00556368">
        <w:rPr>
          <w:rStyle w:val="FootnoteReference"/>
          <w:rFonts w:ascii="Times New Roman" w:eastAsia="Times New Roman" w:hAnsi="Times New Roman" w:cs="Times New Roman"/>
          <w:sz w:val="20"/>
          <w:szCs w:val="20"/>
        </w:rPr>
        <w:footnoteReference w:id="33"/>
      </w:r>
      <w:r w:rsidRPr="00556368">
        <w:rPr>
          <w:rFonts w:ascii="Times New Roman" w:eastAsia="Times New Roman" w:hAnsi="Times New Roman" w:cs="Times New Roman"/>
          <w:sz w:val="20"/>
          <w:szCs w:val="20"/>
        </w:rPr>
        <w:t xml:space="preserve"> </w:t>
      </w:r>
    </w:p>
    <w:p w14:paraId="044010D4" w14:textId="7DC396ED" w:rsidR="004F6E0F" w:rsidRPr="00BA1F28" w:rsidRDefault="00E2404E" w:rsidP="009C23CA">
      <w:pPr>
        <w:spacing w:line="480" w:lineRule="auto"/>
        <w:ind w:firstLine="720"/>
        <w:jc w:val="both"/>
        <w:rPr>
          <w:rFonts w:ascii="Times New Roman" w:eastAsia="Times New Roman" w:hAnsi="Times New Roman" w:cs="Times New Roman"/>
        </w:rPr>
      </w:pPr>
      <w:r w:rsidRPr="00BA1F28">
        <w:rPr>
          <w:rFonts w:ascii="Times New Roman" w:eastAsia="Times New Roman" w:hAnsi="Times New Roman" w:cs="Times New Roman"/>
        </w:rPr>
        <w:lastRenderedPageBreak/>
        <w:t xml:space="preserve">The legality of this Constitutional provision came to the fore in </w:t>
      </w:r>
      <w:r w:rsidRPr="00BA1F28">
        <w:rPr>
          <w:rFonts w:ascii="Times New Roman" w:eastAsia="Times New Roman" w:hAnsi="Times New Roman" w:cs="Times New Roman"/>
          <w:u w:val="single"/>
        </w:rPr>
        <w:t>Ashoka Kumar Thakur v. Union of India</w:t>
      </w:r>
      <w:r w:rsidRPr="00BA1F28">
        <w:rPr>
          <w:rFonts w:ascii="Times New Roman" w:eastAsia="Times New Roman" w:hAnsi="Times New Roman" w:cs="Times New Roman"/>
        </w:rPr>
        <w:t xml:space="preserve"> (“Ashoka”). In 2007, the </w:t>
      </w:r>
      <w:r w:rsidR="008E590B" w:rsidRPr="00BA1F28">
        <w:rPr>
          <w:rFonts w:ascii="Times New Roman" w:eastAsia="Times New Roman" w:hAnsi="Times New Roman" w:cs="Times New Roman"/>
        </w:rPr>
        <w:t xml:space="preserve">Indian Parliament passed the Central Educational Institutions (Reservation in Admission) Act, 2006 (No. 5 of 2007) (“the Act 5 of 2007”) which </w:t>
      </w:r>
      <w:r w:rsidR="00BD25AA" w:rsidRPr="00BA1F28">
        <w:rPr>
          <w:rFonts w:ascii="Times New Roman" w:eastAsia="Times New Roman" w:hAnsi="Times New Roman" w:cs="Times New Roman"/>
        </w:rPr>
        <w:t>reserved</w:t>
      </w:r>
      <w:r w:rsidR="008E590B" w:rsidRPr="00BA1F28">
        <w:rPr>
          <w:rFonts w:ascii="Times New Roman" w:eastAsia="Times New Roman" w:hAnsi="Times New Roman" w:cs="Times New Roman"/>
        </w:rPr>
        <w:t xml:space="preserve"> 27% of seats in Central Educational Institutions for</w:t>
      </w:r>
      <w:r w:rsidRPr="00BA1F28">
        <w:rPr>
          <w:rFonts w:ascii="Times New Roman" w:eastAsia="Times New Roman" w:hAnsi="Times New Roman" w:cs="Times New Roman"/>
        </w:rPr>
        <w:t xml:space="preserve"> “other backward classes.”</w:t>
      </w:r>
      <w:r w:rsidRPr="00BA1F28">
        <w:rPr>
          <w:rStyle w:val="FootnoteReference"/>
          <w:rFonts w:ascii="Times New Roman" w:eastAsia="Times New Roman" w:hAnsi="Times New Roman" w:cs="Times New Roman"/>
        </w:rPr>
        <w:footnoteReference w:id="34"/>
      </w:r>
      <w:r w:rsidR="00E11455" w:rsidRPr="00BA1F28">
        <w:rPr>
          <w:rStyle w:val="FootnoteReference"/>
          <w:rFonts w:ascii="Times New Roman" w:eastAsia="Times New Roman" w:hAnsi="Times New Roman" w:cs="Times New Roman"/>
        </w:rPr>
        <w:footnoteReference w:id="35"/>
      </w:r>
      <w:r w:rsidRPr="00BA1F28">
        <w:rPr>
          <w:rFonts w:ascii="Times New Roman" w:eastAsia="Times New Roman" w:hAnsi="Times New Roman" w:cs="Times New Roman"/>
        </w:rPr>
        <w:t xml:space="preserve"> The reservation policy was challenged on </w:t>
      </w:r>
      <w:r w:rsidR="00C954EF" w:rsidRPr="00BA1F28">
        <w:rPr>
          <w:rFonts w:ascii="Times New Roman" w:eastAsia="Times New Roman" w:hAnsi="Times New Roman" w:cs="Times New Roman"/>
        </w:rPr>
        <w:t>several grounds. Important here ar</w:t>
      </w:r>
      <w:r w:rsidR="00B816AE" w:rsidRPr="00BA1F28">
        <w:rPr>
          <w:rFonts w:ascii="Times New Roman" w:eastAsia="Times New Roman" w:hAnsi="Times New Roman" w:cs="Times New Roman"/>
        </w:rPr>
        <w:t xml:space="preserve">e </w:t>
      </w:r>
      <w:r w:rsidR="00826A24" w:rsidRPr="00BA1F28">
        <w:rPr>
          <w:rFonts w:ascii="Times New Roman" w:eastAsia="Times New Roman" w:hAnsi="Times New Roman" w:cs="Times New Roman"/>
        </w:rPr>
        <w:t>the challenge</w:t>
      </w:r>
      <w:r w:rsidR="006302E6">
        <w:rPr>
          <w:rFonts w:ascii="Times New Roman" w:eastAsia="Times New Roman" w:hAnsi="Times New Roman" w:cs="Times New Roman"/>
        </w:rPr>
        <w:t>s</w:t>
      </w:r>
      <w:r w:rsidR="00826A24" w:rsidRPr="00BA1F28">
        <w:rPr>
          <w:rFonts w:ascii="Times New Roman" w:eastAsia="Times New Roman" w:hAnsi="Times New Roman" w:cs="Times New Roman"/>
        </w:rPr>
        <w:t xml:space="preserve"> that</w:t>
      </w:r>
      <w:r w:rsidR="00B816AE" w:rsidRPr="00BA1F28">
        <w:rPr>
          <w:rFonts w:ascii="Times New Roman" w:eastAsia="Times New Roman" w:hAnsi="Times New Roman" w:cs="Times New Roman"/>
        </w:rPr>
        <w:t xml:space="preserve"> </w:t>
      </w:r>
      <w:r w:rsidRPr="00BA1F28">
        <w:rPr>
          <w:rFonts w:ascii="Times New Roman" w:eastAsia="Times New Roman" w:hAnsi="Times New Roman" w:cs="Times New Roman"/>
        </w:rPr>
        <w:t xml:space="preserve">the </w:t>
      </w:r>
      <w:r w:rsidR="005330E3" w:rsidRPr="00BA1F28">
        <w:rPr>
          <w:rFonts w:ascii="Times New Roman" w:eastAsia="Times New Roman" w:hAnsi="Times New Roman" w:cs="Times New Roman"/>
        </w:rPr>
        <w:t xml:space="preserve">Amendment Act </w:t>
      </w:r>
      <w:r w:rsidR="00E35FD1" w:rsidRPr="00BA1F28">
        <w:rPr>
          <w:rFonts w:ascii="Times New Roman" w:eastAsia="Times New Roman" w:hAnsi="Times New Roman" w:cs="Times New Roman"/>
        </w:rPr>
        <w:t>violated</w:t>
      </w:r>
      <w:r w:rsidR="006302E6">
        <w:rPr>
          <w:rFonts w:ascii="Times New Roman" w:eastAsia="Times New Roman" w:hAnsi="Times New Roman" w:cs="Times New Roman"/>
        </w:rPr>
        <w:t xml:space="preserve"> the</w:t>
      </w:r>
      <w:r w:rsidRPr="00BA1F28">
        <w:rPr>
          <w:rFonts w:ascii="Times New Roman" w:eastAsia="Times New Roman" w:hAnsi="Times New Roman" w:cs="Times New Roman"/>
        </w:rPr>
        <w:t xml:space="preserve"> ‘basic structure’</w:t>
      </w:r>
      <w:r w:rsidR="00C954EF" w:rsidRPr="00BA1F28">
        <w:rPr>
          <w:rFonts w:ascii="Times New Roman" w:eastAsia="Times New Roman" w:hAnsi="Times New Roman" w:cs="Times New Roman"/>
        </w:rPr>
        <w:t xml:space="preserve"> of the Constitution of India</w:t>
      </w:r>
      <w:r w:rsidR="00826A24" w:rsidRPr="00BA1F28">
        <w:rPr>
          <w:rFonts w:ascii="Times New Roman" w:eastAsia="Times New Roman" w:hAnsi="Times New Roman" w:cs="Times New Roman"/>
        </w:rPr>
        <w:t>,</w:t>
      </w:r>
      <w:r w:rsidRPr="00BA1F28">
        <w:rPr>
          <w:rStyle w:val="FootnoteReference"/>
          <w:rFonts w:ascii="Times New Roman" w:eastAsia="Times New Roman" w:hAnsi="Times New Roman" w:cs="Times New Roman"/>
        </w:rPr>
        <w:footnoteReference w:id="36"/>
      </w:r>
      <w:r w:rsidR="00826A24" w:rsidRPr="00BA1F28">
        <w:rPr>
          <w:rFonts w:ascii="Times New Roman" w:eastAsia="Times New Roman" w:hAnsi="Times New Roman" w:cs="Times New Roman"/>
        </w:rPr>
        <w:t xml:space="preserve"> and that </w:t>
      </w:r>
      <w:r w:rsidR="005330E3" w:rsidRPr="00BA1F28">
        <w:rPr>
          <w:rFonts w:ascii="Times New Roman" w:eastAsia="Times New Roman" w:hAnsi="Times New Roman" w:cs="Times New Roman"/>
        </w:rPr>
        <w:t>the</w:t>
      </w:r>
      <w:r w:rsidRPr="00BA1F28">
        <w:rPr>
          <w:rFonts w:ascii="Times New Roman" w:eastAsia="Times New Roman" w:hAnsi="Times New Roman" w:cs="Times New Roman"/>
        </w:rPr>
        <w:t xml:space="preserve"> </w:t>
      </w:r>
      <w:r w:rsidR="009566D8" w:rsidRPr="00BA1F28">
        <w:rPr>
          <w:rFonts w:ascii="Times New Roman" w:eastAsia="Times New Roman" w:hAnsi="Times New Roman" w:cs="Times New Roman"/>
        </w:rPr>
        <w:t xml:space="preserve">Act 5 of 2007 </w:t>
      </w:r>
      <w:r w:rsidR="00E35FD1" w:rsidRPr="00BA1F28">
        <w:rPr>
          <w:rFonts w:ascii="Times New Roman" w:eastAsia="Times New Roman" w:hAnsi="Times New Roman" w:cs="Times New Roman"/>
        </w:rPr>
        <w:t>discriminated</w:t>
      </w:r>
      <w:r w:rsidR="00826A24" w:rsidRPr="00BA1F28">
        <w:rPr>
          <w:rFonts w:ascii="Times New Roman" w:eastAsia="Times New Roman" w:hAnsi="Times New Roman" w:cs="Times New Roman"/>
        </w:rPr>
        <w:t xml:space="preserve"> on the basis of caste, which is prohibited.</w:t>
      </w:r>
      <w:r w:rsidR="005330E3" w:rsidRPr="00BA1F28">
        <w:rPr>
          <w:rStyle w:val="FootnoteReference"/>
          <w:rFonts w:ascii="Times New Roman" w:eastAsia="Times New Roman" w:hAnsi="Times New Roman" w:cs="Times New Roman"/>
        </w:rPr>
        <w:footnoteReference w:id="37"/>
      </w:r>
      <w:r w:rsidRPr="00BA1F28">
        <w:rPr>
          <w:rFonts w:ascii="Times New Roman" w:eastAsia="Times New Roman" w:hAnsi="Times New Roman" w:cs="Times New Roman"/>
        </w:rPr>
        <w:t xml:space="preserve"> </w:t>
      </w:r>
      <w:r w:rsidR="004F6E0F" w:rsidRPr="00BA1F28">
        <w:rPr>
          <w:rFonts w:ascii="Times New Roman" w:eastAsia="Times New Roman" w:hAnsi="Times New Roman" w:cs="Times New Roman"/>
        </w:rPr>
        <w:t xml:space="preserve">The Acts would be </w:t>
      </w:r>
      <w:r w:rsidR="00826A24" w:rsidRPr="00BA1F28">
        <w:rPr>
          <w:rFonts w:ascii="Times New Roman" w:eastAsia="Times New Roman" w:hAnsi="Times New Roman" w:cs="Times New Roman"/>
        </w:rPr>
        <w:t xml:space="preserve">found </w:t>
      </w:r>
      <w:r w:rsidR="004F6E0F" w:rsidRPr="00BA1F28">
        <w:rPr>
          <w:rFonts w:ascii="Times New Roman" w:eastAsia="Times New Roman" w:hAnsi="Times New Roman" w:cs="Times New Roman"/>
        </w:rPr>
        <w:t xml:space="preserve">unconstitutional if the legislature </w:t>
      </w:r>
      <w:r w:rsidR="000702BD" w:rsidRPr="00BA1F28">
        <w:rPr>
          <w:rFonts w:ascii="Times New Roman" w:eastAsia="Times New Roman" w:hAnsi="Times New Roman" w:cs="Times New Roman"/>
        </w:rPr>
        <w:t>lacked legislative competency,</w:t>
      </w:r>
      <w:r w:rsidR="004F6E0F" w:rsidRPr="00BA1F28">
        <w:rPr>
          <w:rFonts w:ascii="Times New Roman" w:eastAsia="Times New Roman" w:hAnsi="Times New Roman" w:cs="Times New Roman"/>
        </w:rPr>
        <w:t xml:space="preserve"> if the legislation was </w:t>
      </w:r>
      <w:r w:rsidR="004F6E0F" w:rsidRPr="00BA1F28">
        <w:rPr>
          <w:rFonts w:ascii="Times New Roman" w:eastAsia="Times New Roman" w:hAnsi="Times New Roman" w:cs="Times New Roman"/>
          <w:i/>
        </w:rPr>
        <w:t>ultra vires</w:t>
      </w:r>
      <w:r w:rsidR="004F6E0F" w:rsidRPr="00BA1F28">
        <w:rPr>
          <w:rFonts w:ascii="Times New Roman" w:eastAsia="Times New Roman" w:hAnsi="Times New Roman" w:cs="Times New Roman"/>
        </w:rPr>
        <w:t xml:space="preserve"> of the provisions</w:t>
      </w:r>
      <w:r w:rsidR="000702BD" w:rsidRPr="00BA1F28">
        <w:rPr>
          <w:rFonts w:ascii="Times New Roman" w:eastAsia="Times New Roman" w:hAnsi="Times New Roman" w:cs="Times New Roman"/>
        </w:rPr>
        <w:t xml:space="preserve"> of the Constitution, or if the legislation violated fundamental rights as set forth in the Constitution.</w:t>
      </w:r>
      <w:r w:rsidR="000702BD" w:rsidRPr="00BA1F28">
        <w:rPr>
          <w:rStyle w:val="FootnoteReference"/>
          <w:rFonts w:ascii="Times New Roman" w:eastAsia="Times New Roman" w:hAnsi="Times New Roman" w:cs="Times New Roman"/>
        </w:rPr>
        <w:footnoteReference w:id="38"/>
      </w:r>
    </w:p>
    <w:p w14:paraId="4482B8CE" w14:textId="128E2378" w:rsidR="00A87B30" w:rsidRPr="00BA1F28" w:rsidRDefault="00E35FD1" w:rsidP="009C23CA">
      <w:pPr>
        <w:spacing w:line="480" w:lineRule="auto"/>
        <w:ind w:firstLine="720"/>
        <w:jc w:val="both"/>
        <w:rPr>
          <w:rFonts w:ascii="Times New Roman" w:eastAsia="Times New Roman" w:hAnsi="Times New Roman" w:cs="Times New Roman"/>
        </w:rPr>
      </w:pPr>
      <w:r w:rsidRPr="00BA1F28">
        <w:rPr>
          <w:rFonts w:ascii="Times New Roman" w:eastAsia="Times New Roman" w:hAnsi="Times New Roman" w:cs="Times New Roman"/>
        </w:rPr>
        <w:t xml:space="preserve">The </w:t>
      </w:r>
      <w:r w:rsidR="00D42D16" w:rsidRPr="00BA1F28">
        <w:rPr>
          <w:rFonts w:ascii="Times New Roman" w:eastAsia="Times New Roman" w:hAnsi="Times New Roman" w:cs="Times New Roman"/>
        </w:rPr>
        <w:t xml:space="preserve">challenges were based on the </w:t>
      </w:r>
      <w:r w:rsidRPr="00BA1F28">
        <w:rPr>
          <w:rFonts w:ascii="Times New Roman" w:eastAsia="Times New Roman" w:hAnsi="Times New Roman" w:cs="Times New Roman"/>
        </w:rPr>
        <w:t xml:space="preserve">general </w:t>
      </w:r>
      <w:r w:rsidR="00D42D16" w:rsidRPr="00BA1F28">
        <w:rPr>
          <w:rFonts w:ascii="Times New Roman" w:eastAsia="Times New Roman" w:hAnsi="Times New Roman" w:cs="Times New Roman"/>
        </w:rPr>
        <w:t>argument that the Government’s reservations policy was a “genuine social engineering measure” that would result in impermissible “reverse engineering,”</w:t>
      </w:r>
      <w:r w:rsidR="000702BD" w:rsidRPr="00BA1F28">
        <w:rPr>
          <w:rStyle w:val="FootnoteReference"/>
          <w:rFonts w:ascii="Times New Roman" w:eastAsia="Times New Roman" w:hAnsi="Times New Roman" w:cs="Times New Roman"/>
        </w:rPr>
        <w:footnoteReference w:id="39"/>
      </w:r>
      <w:r w:rsidR="00D42D16" w:rsidRPr="00BA1F28">
        <w:rPr>
          <w:rFonts w:ascii="Times New Roman" w:eastAsia="Times New Roman" w:hAnsi="Times New Roman" w:cs="Times New Roman"/>
        </w:rPr>
        <w:t xml:space="preserve"> and that such a policy violated </w:t>
      </w:r>
      <w:r w:rsidR="001021E2" w:rsidRPr="00BA1F28">
        <w:rPr>
          <w:rFonts w:ascii="Times New Roman" w:eastAsia="Times New Roman" w:hAnsi="Times New Roman" w:cs="Times New Roman"/>
        </w:rPr>
        <w:t>Article 14</w:t>
      </w:r>
      <w:r w:rsidR="00D42D16" w:rsidRPr="00BA1F28">
        <w:rPr>
          <w:rFonts w:ascii="Times New Roman" w:eastAsia="Times New Roman" w:hAnsi="Times New Roman" w:cs="Times New Roman"/>
        </w:rPr>
        <w:t xml:space="preserve"> </w:t>
      </w:r>
      <w:r w:rsidR="001021E2" w:rsidRPr="00BA1F28">
        <w:rPr>
          <w:rFonts w:ascii="Times New Roman" w:eastAsia="Times New Roman" w:hAnsi="Times New Roman" w:cs="Times New Roman"/>
        </w:rPr>
        <w:t xml:space="preserve">of the </w:t>
      </w:r>
      <w:r w:rsidR="00D42D16" w:rsidRPr="00BA1F28">
        <w:rPr>
          <w:rFonts w:ascii="Times New Roman" w:eastAsia="Times New Roman" w:hAnsi="Times New Roman" w:cs="Times New Roman"/>
        </w:rPr>
        <w:t>Constitution (“equality before the law”)</w:t>
      </w:r>
      <w:r w:rsidR="000702BD" w:rsidRPr="00BA1F28">
        <w:rPr>
          <w:rFonts w:ascii="Times New Roman" w:eastAsia="Times New Roman" w:hAnsi="Times New Roman" w:cs="Times New Roman"/>
        </w:rPr>
        <w:t>, and that Article 15(5) was an exception to Article 15(1) and thus a violation of a fundamental right</w:t>
      </w:r>
      <w:r w:rsidR="00D42D16" w:rsidRPr="00BA1F28">
        <w:rPr>
          <w:rFonts w:ascii="Times New Roman" w:eastAsia="Times New Roman" w:hAnsi="Times New Roman" w:cs="Times New Roman"/>
        </w:rPr>
        <w:t>.</w:t>
      </w:r>
      <w:r w:rsidR="001021E2" w:rsidRPr="00BA1F28">
        <w:rPr>
          <w:rStyle w:val="FootnoteReference"/>
          <w:rFonts w:ascii="Times New Roman" w:eastAsia="Times New Roman" w:hAnsi="Times New Roman" w:cs="Times New Roman"/>
        </w:rPr>
        <w:footnoteReference w:id="40"/>
      </w:r>
      <w:r w:rsidR="001021E2" w:rsidRPr="00BA1F28">
        <w:rPr>
          <w:rFonts w:ascii="Times New Roman" w:eastAsia="Times New Roman" w:hAnsi="Times New Roman" w:cs="Times New Roman"/>
        </w:rPr>
        <w:t xml:space="preserve"> </w:t>
      </w:r>
      <w:r w:rsidR="00D42D16" w:rsidRPr="00BA1F28">
        <w:rPr>
          <w:rFonts w:ascii="Times New Roman" w:eastAsia="Times New Roman" w:hAnsi="Times New Roman" w:cs="Times New Roman"/>
        </w:rPr>
        <w:t>It was further argued that the affirmative action policy needed to be justified by a “</w:t>
      </w:r>
      <w:r w:rsidR="00BD25AA" w:rsidRPr="00BA1F28">
        <w:rPr>
          <w:rFonts w:ascii="Times New Roman" w:eastAsia="Times New Roman" w:hAnsi="Times New Roman" w:cs="Times New Roman"/>
        </w:rPr>
        <w:t>compelling</w:t>
      </w:r>
      <w:r w:rsidR="00813AA7">
        <w:rPr>
          <w:rFonts w:ascii="Times New Roman" w:eastAsia="Times New Roman" w:hAnsi="Times New Roman" w:cs="Times New Roman"/>
        </w:rPr>
        <w:t xml:space="preserve"> state necessity</w:t>
      </w:r>
      <w:r w:rsidR="00D42D16" w:rsidRPr="00BA1F28">
        <w:rPr>
          <w:rFonts w:ascii="Times New Roman" w:eastAsia="Times New Roman" w:hAnsi="Times New Roman" w:cs="Times New Roman"/>
        </w:rPr>
        <w:t xml:space="preserve">” greater in degree than the justifications needed for economic </w:t>
      </w:r>
      <w:r w:rsidR="00D42D16" w:rsidRPr="00BA1F28">
        <w:rPr>
          <w:rFonts w:ascii="Times New Roman" w:eastAsia="Times New Roman" w:hAnsi="Times New Roman" w:cs="Times New Roman"/>
        </w:rPr>
        <w:lastRenderedPageBreak/>
        <w:t xml:space="preserve">legislation. In fact, the Senior Counsel for petitioners “particularly referred to various decisions of the Supreme Court of the United </w:t>
      </w:r>
      <w:r w:rsidR="00BD25AA" w:rsidRPr="00BA1F28">
        <w:rPr>
          <w:rFonts w:ascii="Times New Roman" w:eastAsia="Times New Roman" w:hAnsi="Times New Roman" w:cs="Times New Roman"/>
        </w:rPr>
        <w:t>States</w:t>
      </w:r>
      <w:r w:rsidR="00D42D16" w:rsidRPr="00BA1F28">
        <w:rPr>
          <w:rFonts w:ascii="Times New Roman" w:eastAsia="Times New Roman" w:hAnsi="Times New Roman" w:cs="Times New Roman"/>
        </w:rPr>
        <w:t xml:space="preserve"> and </w:t>
      </w:r>
      <w:r w:rsidR="00BD25AA" w:rsidRPr="00BA1F28">
        <w:rPr>
          <w:rFonts w:ascii="Times New Roman" w:eastAsia="Times New Roman" w:hAnsi="Times New Roman" w:cs="Times New Roman"/>
        </w:rPr>
        <w:t>contended</w:t>
      </w:r>
      <w:r w:rsidR="00D42D16" w:rsidRPr="00BA1F28">
        <w:rPr>
          <w:rFonts w:ascii="Times New Roman" w:eastAsia="Times New Roman" w:hAnsi="Times New Roman" w:cs="Times New Roman"/>
        </w:rPr>
        <w:t xml:space="preserve"> that this kind of legislation [] attempting affirmative action,” i.e. the Act 5 of 2007, </w:t>
      </w:r>
      <w:r w:rsidR="00BD25AA" w:rsidRPr="00BA1F28">
        <w:rPr>
          <w:rFonts w:ascii="Times New Roman" w:eastAsia="Times New Roman" w:hAnsi="Times New Roman" w:cs="Times New Roman"/>
        </w:rPr>
        <w:t>has to</w:t>
      </w:r>
      <w:r w:rsidR="00D42D16" w:rsidRPr="00BA1F28">
        <w:rPr>
          <w:rFonts w:ascii="Times New Roman" w:eastAsia="Times New Roman" w:hAnsi="Times New Roman" w:cs="Times New Roman"/>
        </w:rPr>
        <w:t xml:space="preserve"> “be treated as ‘</w:t>
      </w:r>
      <w:r w:rsidR="00BD25AA" w:rsidRPr="00BA1F28">
        <w:rPr>
          <w:rFonts w:ascii="Times New Roman" w:eastAsia="Times New Roman" w:hAnsi="Times New Roman" w:cs="Times New Roman"/>
        </w:rPr>
        <w:t>suspect</w:t>
      </w:r>
      <w:r w:rsidR="00D42D16" w:rsidRPr="00BA1F28">
        <w:rPr>
          <w:rFonts w:ascii="Times New Roman" w:eastAsia="Times New Roman" w:hAnsi="Times New Roman" w:cs="Times New Roman"/>
        </w:rPr>
        <w:t xml:space="preserve"> legislation and it []</w:t>
      </w:r>
      <w:r w:rsidR="00BD25AA" w:rsidRPr="00BA1F28">
        <w:rPr>
          <w:rFonts w:ascii="Times New Roman" w:eastAsia="Times New Roman" w:hAnsi="Times New Roman" w:cs="Times New Roman"/>
        </w:rPr>
        <w:t xml:space="preserve"> has to undergo the tests of ‘strict scrutiny and ‘compelling state necessity.’</w:t>
      </w:r>
      <w:r w:rsidR="00D42D16" w:rsidRPr="00BA1F28">
        <w:rPr>
          <w:rFonts w:ascii="Times New Roman" w:eastAsia="Times New Roman" w:hAnsi="Times New Roman" w:cs="Times New Roman"/>
        </w:rPr>
        <w:t xml:space="preserve">”   </w:t>
      </w:r>
    </w:p>
    <w:p w14:paraId="346FC401" w14:textId="60BD6D0C" w:rsidR="000702BD" w:rsidRPr="00BA1F28" w:rsidRDefault="00E35FD1" w:rsidP="009C23CA">
      <w:pPr>
        <w:spacing w:line="480" w:lineRule="auto"/>
        <w:ind w:firstLine="720"/>
        <w:jc w:val="both"/>
        <w:rPr>
          <w:rFonts w:ascii="Times New Roman" w:eastAsia="Times New Roman" w:hAnsi="Times New Roman" w:cs="Times New Roman"/>
        </w:rPr>
      </w:pPr>
      <w:r w:rsidRPr="00BA1F28">
        <w:rPr>
          <w:rFonts w:ascii="Times New Roman" w:eastAsia="Times New Roman" w:hAnsi="Times New Roman" w:cs="Times New Roman"/>
        </w:rPr>
        <w:t>The Court rejected challenges to both Acts</w:t>
      </w:r>
      <w:r w:rsidR="00F0522F" w:rsidRPr="00BA1F28">
        <w:rPr>
          <w:rFonts w:ascii="Times New Roman" w:eastAsia="Times New Roman" w:hAnsi="Times New Roman" w:cs="Times New Roman"/>
        </w:rPr>
        <w:t xml:space="preserve">. </w:t>
      </w:r>
      <w:r w:rsidR="000702BD" w:rsidRPr="00BA1F28">
        <w:rPr>
          <w:rFonts w:ascii="Times New Roman" w:eastAsia="Times New Roman" w:hAnsi="Times New Roman" w:cs="Times New Roman"/>
        </w:rPr>
        <w:t xml:space="preserve">With respect to the Constitutional attack, the Court held that the legislative affirmative action program was not </w:t>
      </w:r>
      <w:r w:rsidR="000702BD" w:rsidRPr="00BA1F28">
        <w:rPr>
          <w:rFonts w:ascii="Times New Roman" w:eastAsia="Times New Roman" w:hAnsi="Times New Roman" w:cs="Times New Roman"/>
          <w:i/>
        </w:rPr>
        <w:t>ultra vires</w:t>
      </w:r>
      <w:r w:rsidR="000702BD" w:rsidRPr="00BA1F28">
        <w:rPr>
          <w:rFonts w:ascii="Times New Roman" w:eastAsia="Times New Roman" w:hAnsi="Times New Roman" w:cs="Times New Roman"/>
        </w:rPr>
        <w:t>, nor did it violate any fun</w:t>
      </w:r>
      <w:r w:rsidR="00813AA7">
        <w:rPr>
          <w:rFonts w:ascii="Times New Roman" w:eastAsia="Times New Roman" w:hAnsi="Times New Roman" w:cs="Times New Roman"/>
        </w:rPr>
        <w:t>damental rights. Here, the pertinent</w:t>
      </w:r>
      <w:r w:rsidR="00525234" w:rsidRPr="00BA1F28">
        <w:rPr>
          <w:rFonts w:ascii="Times New Roman" w:eastAsia="Times New Roman" w:hAnsi="Times New Roman" w:cs="Times New Roman"/>
        </w:rPr>
        <w:t xml:space="preserve"> legal reasoning was that a class-based classification does not entail a form of prohibited discrimination.</w:t>
      </w:r>
      <w:r w:rsidR="00525234" w:rsidRPr="00BA1F28">
        <w:rPr>
          <w:rStyle w:val="FootnoteReference"/>
          <w:rFonts w:ascii="Times New Roman" w:eastAsia="Times New Roman" w:hAnsi="Times New Roman" w:cs="Times New Roman"/>
        </w:rPr>
        <w:footnoteReference w:id="41"/>
      </w:r>
      <w:r w:rsidR="00525234" w:rsidRPr="00BA1F28">
        <w:rPr>
          <w:rFonts w:ascii="Times New Roman" w:eastAsia="Times New Roman" w:hAnsi="Times New Roman" w:cs="Times New Roman"/>
        </w:rPr>
        <w:t xml:space="preserve"> Reservations, even though based on class-classification, “preserve and promote the essence of equality.”</w:t>
      </w:r>
      <w:r w:rsidR="00525234" w:rsidRPr="00BA1F28">
        <w:rPr>
          <w:rStyle w:val="FootnoteReference"/>
          <w:rFonts w:ascii="Times New Roman" w:eastAsia="Times New Roman" w:hAnsi="Times New Roman" w:cs="Times New Roman"/>
        </w:rPr>
        <w:footnoteReference w:id="42"/>
      </w:r>
      <w:r w:rsidR="00525234" w:rsidRPr="00BA1F28">
        <w:rPr>
          <w:rFonts w:ascii="Times New Roman" w:eastAsia="Times New Roman" w:hAnsi="Times New Roman" w:cs="Times New Roman"/>
        </w:rPr>
        <w:t xml:space="preserve"> Since reservations preserve and prom</w:t>
      </w:r>
      <w:r w:rsidR="00547995" w:rsidRPr="00BA1F28">
        <w:rPr>
          <w:rFonts w:ascii="Times New Roman" w:eastAsia="Times New Roman" w:hAnsi="Times New Roman" w:cs="Times New Roman"/>
        </w:rPr>
        <w:t xml:space="preserve">ote the essence of equality, they do not violate the fundamental rights to equality before the laws or non-discrimination. In short, equal treatment requires differential, i.e. </w:t>
      </w:r>
      <w:r w:rsidR="00547995" w:rsidRPr="00BA1F28">
        <w:rPr>
          <w:rFonts w:ascii="Times New Roman" w:eastAsia="Times New Roman" w:hAnsi="Times New Roman" w:cs="Times New Roman"/>
          <w:i/>
        </w:rPr>
        <w:t>per se</w:t>
      </w:r>
      <w:r w:rsidR="00547995" w:rsidRPr="00BA1F28">
        <w:rPr>
          <w:rFonts w:ascii="Times New Roman" w:eastAsia="Times New Roman" w:hAnsi="Times New Roman" w:cs="Times New Roman"/>
        </w:rPr>
        <w:t xml:space="preserve"> discriminatory, treatment of unequals.</w:t>
      </w:r>
      <w:r w:rsidR="00547995" w:rsidRPr="00BA1F28">
        <w:rPr>
          <w:rStyle w:val="FootnoteReference"/>
          <w:rFonts w:ascii="Times New Roman" w:eastAsia="Times New Roman" w:hAnsi="Times New Roman" w:cs="Times New Roman"/>
        </w:rPr>
        <w:footnoteReference w:id="43"/>
      </w:r>
      <w:r w:rsidR="00547995" w:rsidRPr="00BA1F28">
        <w:rPr>
          <w:rFonts w:ascii="Times New Roman" w:eastAsia="Times New Roman" w:hAnsi="Times New Roman" w:cs="Times New Roman"/>
        </w:rPr>
        <w:t xml:space="preserve"> </w:t>
      </w:r>
    </w:p>
    <w:p w14:paraId="49C63475" w14:textId="063783AC" w:rsidR="00EE3B06" w:rsidRPr="00BA1F28" w:rsidRDefault="00EE3B06" w:rsidP="009C23CA">
      <w:pPr>
        <w:spacing w:line="480" w:lineRule="auto"/>
        <w:ind w:firstLine="720"/>
        <w:jc w:val="both"/>
        <w:rPr>
          <w:rFonts w:ascii="Times New Roman" w:eastAsia="Times New Roman" w:hAnsi="Times New Roman" w:cs="Times New Roman"/>
        </w:rPr>
      </w:pPr>
      <w:r w:rsidRPr="00BA1F28">
        <w:rPr>
          <w:rFonts w:ascii="Times New Roman" w:eastAsia="Times New Roman" w:hAnsi="Times New Roman" w:cs="Times New Roman"/>
        </w:rPr>
        <w:t xml:space="preserve">With respect to the plea that India should employ American principles of Equal Protection </w:t>
      </w:r>
      <w:r w:rsidR="00F5120B" w:rsidRPr="00BA1F28">
        <w:rPr>
          <w:rFonts w:ascii="Times New Roman" w:eastAsia="Times New Roman" w:hAnsi="Times New Roman" w:cs="Times New Roman"/>
        </w:rPr>
        <w:t>jurisprudence</w:t>
      </w:r>
      <w:r w:rsidRPr="00BA1F28">
        <w:rPr>
          <w:rFonts w:ascii="Times New Roman" w:eastAsia="Times New Roman" w:hAnsi="Times New Roman" w:cs="Times New Roman"/>
        </w:rPr>
        <w:t>, the Chief Justice</w:t>
      </w:r>
      <w:r w:rsidR="00E35FD1" w:rsidRPr="00BA1F28">
        <w:rPr>
          <w:rFonts w:ascii="Times New Roman" w:eastAsia="Times New Roman" w:hAnsi="Times New Roman" w:cs="Times New Roman"/>
        </w:rPr>
        <w:t xml:space="preserve"> of India</w:t>
      </w:r>
      <w:r w:rsidRPr="00BA1F28">
        <w:rPr>
          <w:rFonts w:ascii="Times New Roman" w:eastAsia="Times New Roman" w:hAnsi="Times New Roman" w:cs="Times New Roman"/>
        </w:rPr>
        <w:t xml:space="preserve"> rejected such an approach. First, he noted that the Constitution of India gives a po</w:t>
      </w:r>
      <w:r w:rsidR="00E35FD1" w:rsidRPr="00BA1F28">
        <w:rPr>
          <w:rFonts w:ascii="Times New Roman" w:eastAsia="Times New Roman" w:hAnsi="Times New Roman" w:cs="Times New Roman"/>
        </w:rPr>
        <w:t>sitive mandate to the State that specifically requires the government</w:t>
      </w:r>
      <w:r w:rsidRPr="00BA1F28">
        <w:rPr>
          <w:rFonts w:ascii="Times New Roman" w:eastAsia="Times New Roman" w:hAnsi="Times New Roman" w:cs="Times New Roman"/>
        </w:rPr>
        <w:t xml:space="preserve"> to strive for social and economic justice and to endeavor to eliminate inequalities of status, facilities and opportunities.</w:t>
      </w:r>
      <w:r w:rsidRPr="00BA1F28">
        <w:rPr>
          <w:rStyle w:val="FootnoteReference"/>
          <w:rFonts w:ascii="Times New Roman" w:eastAsia="Times New Roman" w:hAnsi="Times New Roman" w:cs="Times New Roman"/>
        </w:rPr>
        <w:footnoteReference w:id="44"/>
      </w:r>
      <w:r w:rsidR="00F5120B" w:rsidRPr="00BA1F28">
        <w:rPr>
          <w:rFonts w:ascii="Times New Roman" w:eastAsia="Times New Roman" w:hAnsi="Times New Roman" w:cs="Times New Roman"/>
        </w:rPr>
        <w:t xml:space="preserve"> Second, the Chief Justice</w:t>
      </w:r>
      <w:r w:rsidR="006E28DD" w:rsidRPr="00BA1F28">
        <w:rPr>
          <w:rFonts w:ascii="Times New Roman" w:eastAsia="Times New Roman" w:hAnsi="Times New Roman" w:cs="Times New Roman"/>
        </w:rPr>
        <w:t xml:space="preserve"> noted that while US jurisprudence </w:t>
      </w:r>
      <w:r w:rsidR="006E28DD" w:rsidRPr="00BA1F28">
        <w:rPr>
          <w:rFonts w:ascii="Times New Roman" w:eastAsia="Times New Roman" w:hAnsi="Times New Roman" w:cs="Times New Roman"/>
        </w:rPr>
        <w:lastRenderedPageBreak/>
        <w:t>and Indian jurisprudence overlap in some ways,</w:t>
      </w:r>
      <w:r w:rsidR="006E28DD" w:rsidRPr="00BA1F28">
        <w:rPr>
          <w:rStyle w:val="FootnoteReference"/>
          <w:rFonts w:ascii="Times New Roman" w:eastAsia="Times New Roman" w:hAnsi="Times New Roman" w:cs="Times New Roman"/>
        </w:rPr>
        <w:footnoteReference w:id="45"/>
      </w:r>
      <w:r w:rsidR="006E28DD" w:rsidRPr="00BA1F28">
        <w:rPr>
          <w:rFonts w:ascii="Times New Roman" w:eastAsia="Times New Roman" w:hAnsi="Times New Roman" w:cs="Times New Roman"/>
        </w:rPr>
        <w:t xml:space="preserve"> US principles cannot apply to the Indian situation</w:t>
      </w:r>
      <w:r w:rsidR="006C6908" w:rsidRPr="00BA1F28">
        <w:rPr>
          <w:rFonts w:ascii="Times New Roman" w:eastAsia="Times New Roman" w:hAnsi="Times New Roman" w:cs="Times New Roman"/>
        </w:rPr>
        <w:t xml:space="preserve"> because such principles are inconsistent with the </w:t>
      </w:r>
      <w:r w:rsidR="00843CA0">
        <w:rPr>
          <w:rFonts w:ascii="Times New Roman" w:eastAsia="Times New Roman" w:hAnsi="Times New Roman" w:cs="Times New Roman"/>
        </w:rPr>
        <w:t xml:space="preserve">general </w:t>
      </w:r>
      <w:r w:rsidR="006C6908" w:rsidRPr="00BA1F28">
        <w:rPr>
          <w:rFonts w:ascii="Times New Roman" w:eastAsia="Times New Roman" w:hAnsi="Times New Roman" w:cs="Times New Roman"/>
        </w:rPr>
        <w:t>standard of review used to scrutinize Indian legislation. US principles of Equal Protection analysis</w:t>
      </w:r>
      <w:r w:rsidR="00665B46" w:rsidRPr="00BA1F28">
        <w:rPr>
          <w:rFonts w:ascii="Times New Roman" w:eastAsia="Times New Roman" w:hAnsi="Times New Roman" w:cs="Times New Roman"/>
        </w:rPr>
        <w:t xml:space="preserve"> </w:t>
      </w:r>
      <w:r w:rsidR="006E28DD" w:rsidRPr="00BA1F28">
        <w:rPr>
          <w:rFonts w:ascii="Times New Roman" w:eastAsia="Times New Roman" w:hAnsi="Times New Roman" w:cs="Times New Roman"/>
        </w:rPr>
        <w:t>“cannot be appli</w:t>
      </w:r>
      <w:r w:rsidR="00665B46" w:rsidRPr="00BA1F28">
        <w:rPr>
          <w:rFonts w:ascii="Times New Roman" w:eastAsia="Times New Roman" w:hAnsi="Times New Roman" w:cs="Times New Roman"/>
        </w:rPr>
        <w:t>ed directly to India as the gamu</w:t>
      </w:r>
      <w:r w:rsidR="006E28DD" w:rsidRPr="00BA1F28">
        <w:rPr>
          <w:rFonts w:ascii="Times New Roman" w:eastAsia="Times New Roman" w:hAnsi="Times New Roman" w:cs="Times New Roman"/>
        </w:rPr>
        <w:t>t of affirmative action in India is fully supported by constitutional provisions and we have not applied the principles of ‘suspect legislation’ and we have been following the doctrine that every legislation passed by the Parliament is presumed to be constitutionally valid unless otherwise proved.”</w:t>
      </w:r>
      <w:r w:rsidR="006E28DD" w:rsidRPr="00BA1F28">
        <w:rPr>
          <w:rStyle w:val="FootnoteReference"/>
          <w:rFonts w:ascii="Times New Roman" w:eastAsia="Times New Roman" w:hAnsi="Times New Roman" w:cs="Times New Roman"/>
        </w:rPr>
        <w:footnoteReference w:id="46"/>
      </w:r>
      <w:r w:rsidR="00F5120B" w:rsidRPr="00BA1F28">
        <w:rPr>
          <w:rFonts w:ascii="Times New Roman" w:eastAsia="Times New Roman" w:hAnsi="Times New Roman" w:cs="Times New Roman"/>
        </w:rPr>
        <w:t xml:space="preserve"> </w:t>
      </w:r>
    </w:p>
    <w:p w14:paraId="0224A896" w14:textId="2BE1E2E6" w:rsidR="00E2404E" w:rsidRPr="00BA1F28" w:rsidRDefault="00547995" w:rsidP="009C23CA">
      <w:pPr>
        <w:spacing w:line="480" w:lineRule="auto"/>
        <w:ind w:firstLine="720"/>
        <w:jc w:val="both"/>
        <w:rPr>
          <w:rFonts w:ascii="Times New Roman" w:eastAsia="Times New Roman" w:hAnsi="Times New Roman" w:cs="Times New Roman"/>
        </w:rPr>
      </w:pPr>
      <w:r w:rsidRPr="00BA1F28">
        <w:rPr>
          <w:rFonts w:ascii="Times New Roman" w:eastAsia="Times New Roman" w:hAnsi="Times New Roman" w:cs="Times New Roman"/>
        </w:rPr>
        <w:t xml:space="preserve">From the most recent decision in </w:t>
      </w:r>
      <w:r w:rsidRPr="00BA1F28">
        <w:rPr>
          <w:rFonts w:ascii="Times New Roman" w:eastAsia="Times New Roman" w:hAnsi="Times New Roman" w:cs="Times New Roman"/>
          <w:u w:val="single"/>
        </w:rPr>
        <w:t>Ashoka</w:t>
      </w:r>
      <w:r w:rsidRPr="00BA1F28">
        <w:rPr>
          <w:rFonts w:ascii="Times New Roman" w:eastAsia="Times New Roman" w:hAnsi="Times New Roman" w:cs="Times New Roman"/>
        </w:rPr>
        <w:t>, it is clear that: (</w:t>
      </w:r>
      <w:proofErr w:type="spellStart"/>
      <w:r w:rsidRPr="00BA1F28">
        <w:rPr>
          <w:rFonts w:ascii="Times New Roman" w:eastAsia="Times New Roman" w:hAnsi="Times New Roman" w:cs="Times New Roman"/>
        </w:rPr>
        <w:t>i</w:t>
      </w:r>
      <w:proofErr w:type="spellEnd"/>
      <w:r w:rsidRPr="00BA1F28">
        <w:rPr>
          <w:rFonts w:ascii="Times New Roman" w:eastAsia="Times New Roman" w:hAnsi="Times New Roman" w:cs="Times New Roman"/>
        </w:rPr>
        <w:t>) affirmative action educational policies in India are reviewed by a ‘presumption of validity’ standard that is much less stringent than the United State’s str</w:t>
      </w:r>
      <w:r w:rsidR="009C782C" w:rsidRPr="00BA1F28">
        <w:rPr>
          <w:rFonts w:ascii="Times New Roman" w:eastAsia="Times New Roman" w:hAnsi="Times New Roman" w:cs="Times New Roman"/>
        </w:rPr>
        <w:t>ict scrutiny standard of review;</w:t>
      </w:r>
      <w:r w:rsidRPr="00BA1F28">
        <w:rPr>
          <w:rFonts w:ascii="Times New Roman" w:eastAsia="Times New Roman" w:hAnsi="Times New Roman" w:cs="Times New Roman"/>
        </w:rPr>
        <w:t xml:space="preserve"> (ii) </w:t>
      </w:r>
      <w:r w:rsidR="009C782C" w:rsidRPr="00BA1F28">
        <w:rPr>
          <w:rFonts w:ascii="Times New Roman" w:eastAsia="Times New Roman" w:hAnsi="Times New Roman" w:cs="Times New Roman"/>
        </w:rPr>
        <w:t xml:space="preserve">reservations, or quotas, are constitutional and permissible in India; (iii) the only way to challenge an affirmative action educational policy in India is to argue that the legislature lacked competence, the legislation is </w:t>
      </w:r>
      <w:r w:rsidR="009C782C" w:rsidRPr="00BA1F28">
        <w:rPr>
          <w:rFonts w:ascii="Times New Roman" w:eastAsia="Times New Roman" w:hAnsi="Times New Roman" w:cs="Times New Roman"/>
          <w:i/>
        </w:rPr>
        <w:t>ultra vires</w:t>
      </w:r>
      <w:r w:rsidR="009C782C" w:rsidRPr="00BA1F28">
        <w:rPr>
          <w:rFonts w:ascii="Times New Roman" w:eastAsia="Times New Roman" w:hAnsi="Times New Roman" w:cs="Times New Roman"/>
        </w:rPr>
        <w:t xml:space="preserve">, or the legislation violates a fundamental right or another provision of the Constitution. </w:t>
      </w:r>
    </w:p>
    <w:p w14:paraId="29338903" w14:textId="428EF208" w:rsidR="007933CE" w:rsidRPr="00BA1F28" w:rsidRDefault="0074504C" w:rsidP="009C23CA">
      <w:pPr>
        <w:pStyle w:val="ListParagraph"/>
        <w:numPr>
          <w:ilvl w:val="0"/>
          <w:numId w:val="3"/>
        </w:numPr>
        <w:spacing w:line="480" w:lineRule="auto"/>
        <w:jc w:val="both"/>
        <w:rPr>
          <w:rFonts w:ascii="Times New Roman" w:eastAsia="Times New Roman" w:hAnsi="Times New Roman" w:cs="Times New Roman"/>
          <w:u w:val="single"/>
        </w:rPr>
      </w:pPr>
      <w:r>
        <w:rPr>
          <w:rFonts w:ascii="Times New Roman" w:eastAsia="Times New Roman" w:hAnsi="Times New Roman" w:cs="Times New Roman"/>
          <w:u w:val="single"/>
        </w:rPr>
        <w:t>Explaining the Comparison</w:t>
      </w:r>
      <w:r w:rsidR="00223295" w:rsidRPr="00BA1F28">
        <w:rPr>
          <w:rFonts w:ascii="Times New Roman" w:eastAsia="Times New Roman" w:hAnsi="Times New Roman" w:cs="Times New Roman"/>
          <w:u w:val="single"/>
        </w:rPr>
        <w:t>: Differences in Political Economy</w:t>
      </w:r>
      <w:r w:rsidR="00462325" w:rsidRPr="00BA1F28">
        <w:rPr>
          <w:rStyle w:val="FootnoteReference"/>
          <w:rFonts w:ascii="Times New Roman" w:eastAsia="Times New Roman" w:hAnsi="Times New Roman" w:cs="Times New Roman"/>
          <w:u w:val="single"/>
        </w:rPr>
        <w:footnoteReference w:id="47"/>
      </w:r>
      <w:r w:rsidR="00223295" w:rsidRPr="00BA1F28">
        <w:rPr>
          <w:rFonts w:ascii="Times New Roman" w:eastAsia="Times New Roman" w:hAnsi="Times New Roman" w:cs="Times New Roman"/>
          <w:u w:val="single"/>
        </w:rPr>
        <w:t xml:space="preserve"> and Ideology</w:t>
      </w:r>
    </w:p>
    <w:p w14:paraId="6E556D77" w14:textId="14D7300E" w:rsidR="0074714D" w:rsidRPr="00BA1F28" w:rsidRDefault="007933CE" w:rsidP="009C23CA">
      <w:pPr>
        <w:spacing w:line="480" w:lineRule="auto"/>
        <w:jc w:val="both"/>
        <w:rPr>
          <w:rFonts w:ascii="Times New Roman" w:eastAsia="Times New Roman" w:hAnsi="Times New Roman" w:cs="Times New Roman"/>
        </w:rPr>
      </w:pPr>
      <w:r w:rsidRPr="00BA1F28">
        <w:rPr>
          <w:rFonts w:ascii="Times New Roman" w:eastAsia="Times New Roman" w:hAnsi="Times New Roman" w:cs="Times New Roman"/>
        </w:rPr>
        <w:lastRenderedPageBreak/>
        <w:tab/>
        <w:t xml:space="preserve">The difference between the US and Indian views on the standard of review and quotas can best be explained in </w:t>
      </w:r>
      <w:r w:rsidR="00462325" w:rsidRPr="00BA1F28">
        <w:rPr>
          <w:rFonts w:ascii="Times New Roman" w:eastAsia="Times New Roman" w:hAnsi="Times New Roman" w:cs="Times New Roman"/>
        </w:rPr>
        <w:t>terms of political economy, and the corresponding ideology of rights that the political economy thesis</w:t>
      </w:r>
      <w:r w:rsidR="00511690" w:rsidRPr="00BA1F28">
        <w:rPr>
          <w:rStyle w:val="FootnoteReference"/>
          <w:rFonts w:ascii="Times New Roman" w:eastAsia="Times New Roman" w:hAnsi="Times New Roman" w:cs="Times New Roman"/>
        </w:rPr>
        <w:footnoteReference w:id="48"/>
      </w:r>
      <w:r w:rsidR="00462325" w:rsidRPr="00BA1F28">
        <w:rPr>
          <w:rFonts w:ascii="Times New Roman" w:eastAsia="Times New Roman" w:hAnsi="Times New Roman" w:cs="Times New Roman"/>
        </w:rPr>
        <w:t xml:space="preserve"> seems to require</w:t>
      </w:r>
      <w:r w:rsidRPr="00BA1F28">
        <w:rPr>
          <w:rFonts w:ascii="Times New Roman" w:eastAsia="Times New Roman" w:hAnsi="Times New Roman" w:cs="Times New Roman"/>
        </w:rPr>
        <w:t xml:space="preserve">. Both ideology and political economy meet when we place affirmative action in the context of the international human rights regime. </w:t>
      </w:r>
    </w:p>
    <w:p w14:paraId="65D46680" w14:textId="03799D1B" w:rsidR="00667A14" w:rsidRPr="00BA1F28" w:rsidRDefault="00667A14" w:rsidP="009C23CA">
      <w:pPr>
        <w:pStyle w:val="ListParagraph"/>
        <w:numPr>
          <w:ilvl w:val="0"/>
          <w:numId w:val="9"/>
        </w:numPr>
        <w:spacing w:line="480" w:lineRule="auto"/>
        <w:jc w:val="both"/>
        <w:rPr>
          <w:rFonts w:ascii="Times New Roman" w:eastAsia="Times New Roman" w:hAnsi="Times New Roman" w:cs="Times New Roman"/>
          <w:u w:val="single"/>
        </w:rPr>
      </w:pPr>
      <w:r w:rsidRPr="00BA1F28">
        <w:rPr>
          <w:rFonts w:ascii="Times New Roman" w:eastAsia="Times New Roman" w:hAnsi="Times New Roman" w:cs="Times New Roman"/>
          <w:u w:val="single"/>
        </w:rPr>
        <w:t>Domestic Political Economy</w:t>
      </w:r>
    </w:p>
    <w:p w14:paraId="2EFFF234" w14:textId="00E6E913" w:rsidR="00667A14" w:rsidRPr="00BA1F28" w:rsidRDefault="00667A14" w:rsidP="009C23CA">
      <w:pPr>
        <w:spacing w:line="480" w:lineRule="auto"/>
        <w:ind w:firstLine="720"/>
        <w:jc w:val="both"/>
        <w:rPr>
          <w:rFonts w:ascii="Times New Roman" w:eastAsia="Times New Roman" w:hAnsi="Times New Roman" w:cs="Times New Roman"/>
        </w:rPr>
      </w:pPr>
      <w:r w:rsidRPr="00BA1F28">
        <w:rPr>
          <w:rFonts w:ascii="Times New Roman" w:eastAsia="Times New Roman" w:hAnsi="Times New Roman" w:cs="Times New Roman"/>
        </w:rPr>
        <w:t>With respect to domestic political economy, it is clear that the US has a more market-centered and less state-centered political economy than India. “The Unit</w:t>
      </w:r>
      <w:r w:rsidR="000209CD">
        <w:rPr>
          <w:rFonts w:ascii="Times New Roman" w:eastAsia="Times New Roman" w:hAnsi="Times New Roman" w:cs="Times New Roman"/>
        </w:rPr>
        <w:t>ed States comes the closest</w:t>
      </w:r>
      <w:r w:rsidRPr="00BA1F28">
        <w:rPr>
          <w:rFonts w:ascii="Times New Roman" w:eastAsia="Times New Roman" w:hAnsi="Times New Roman" w:cs="Times New Roman"/>
        </w:rPr>
        <w:t xml:space="preserve"> of any country to laissez-faire capitalism, and in comparison with virtually any other country, the United States has an especially market-centered political economy.”</w:t>
      </w:r>
      <w:r w:rsidRPr="00BA1F28">
        <w:rPr>
          <w:rStyle w:val="FootnoteReference"/>
          <w:rFonts w:ascii="Times New Roman" w:eastAsia="Times New Roman" w:hAnsi="Times New Roman" w:cs="Times New Roman"/>
        </w:rPr>
        <w:footnoteReference w:id="49"/>
      </w:r>
      <w:r w:rsidRPr="00BA1F28">
        <w:rPr>
          <w:rFonts w:ascii="Times New Roman" w:eastAsia="Times New Roman" w:hAnsi="Times New Roman" w:cs="Times New Roman"/>
        </w:rPr>
        <w:t xml:space="preserve">  Although India has become more market-centered in recent decades, it is clear that Indian independence was predicated on a nationalism that was suspicious of the private sector and viewed the State as the engine of growth.</w:t>
      </w:r>
      <w:r w:rsidRPr="00BA1F28">
        <w:rPr>
          <w:rStyle w:val="FootnoteReference"/>
          <w:rFonts w:ascii="Times New Roman" w:eastAsia="Times New Roman" w:hAnsi="Times New Roman" w:cs="Times New Roman"/>
        </w:rPr>
        <w:footnoteReference w:id="50"/>
      </w:r>
      <w:r w:rsidRPr="00BA1F28">
        <w:rPr>
          <w:rFonts w:ascii="Times New Roman" w:eastAsia="Times New Roman" w:hAnsi="Times New Roman" w:cs="Times New Roman"/>
        </w:rPr>
        <w:t xml:space="preserve">  This is reflected in the Constitution itself, especially the Directive Principles of State Policy.  </w:t>
      </w:r>
    </w:p>
    <w:p w14:paraId="3EA551FF" w14:textId="77777777" w:rsidR="00CC5A2A" w:rsidRDefault="00667A14" w:rsidP="00CC5A2A">
      <w:pPr>
        <w:pStyle w:val="ListParagraph"/>
        <w:numPr>
          <w:ilvl w:val="0"/>
          <w:numId w:val="9"/>
        </w:numPr>
        <w:spacing w:line="480" w:lineRule="auto"/>
        <w:jc w:val="both"/>
        <w:rPr>
          <w:rFonts w:ascii="Times New Roman" w:eastAsia="Times New Roman" w:hAnsi="Times New Roman" w:cs="Times New Roman"/>
          <w:u w:val="single"/>
        </w:rPr>
      </w:pPr>
      <w:r w:rsidRPr="00BA1F28">
        <w:rPr>
          <w:rFonts w:ascii="Times New Roman" w:eastAsia="Times New Roman" w:hAnsi="Times New Roman" w:cs="Times New Roman"/>
          <w:u w:val="single"/>
        </w:rPr>
        <w:t>Ideology of Rights, or the Political Economy Ramifications of Rights</w:t>
      </w:r>
    </w:p>
    <w:p w14:paraId="1E5B3320" w14:textId="21904B44" w:rsidR="00CC5A2A" w:rsidRPr="00CC5A2A" w:rsidRDefault="00CC5A2A" w:rsidP="00CC5A2A">
      <w:pPr>
        <w:spacing w:line="480" w:lineRule="auto"/>
        <w:ind w:firstLine="720"/>
        <w:jc w:val="both"/>
        <w:rPr>
          <w:rFonts w:ascii="Times New Roman" w:eastAsia="Times New Roman" w:hAnsi="Times New Roman" w:cs="Times New Roman"/>
          <w:u w:val="single"/>
        </w:rPr>
      </w:pPr>
      <w:r>
        <w:rPr>
          <w:rFonts w:ascii="Times New Roman" w:eastAsia="Times New Roman" w:hAnsi="Times New Roman" w:cs="Times New Roman"/>
        </w:rPr>
        <w:t>Historically, the United States has rejected so-called ‘positive’ rights, or rights that oblige the State to act.</w:t>
      </w:r>
      <w:r w:rsidRPr="00CC5A2A">
        <w:rPr>
          <w:rFonts w:ascii="Times New Roman" w:eastAsia="Times New Roman" w:hAnsi="Times New Roman" w:cs="Times New Roman"/>
        </w:rPr>
        <w:t xml:space="preserve"> Instead, the United States has interpreted fundamental rights as only extending to ‘negative’ rights, which prohibit States from acting.  For example, a right against assault is a </w:t>
      </w:r>
      <w:r w:rsidRPr="00CC5A2A">
        <w:rPr>
          <w:rFonts w:ascii="Times New Roman" w:eastAsia="Times New Roman" w:hAnsi="Times New Roman" w:cs="Times New Roman"/>
        </w:rPr>
        <w:lastRenderedPageBreak/>
        <w:t>negative right, while a right to welfare assistance is a positive right.</w:t>
      </w:r>
      <w:r w:rsidRPr="00BA1F28">
        <w:rPr>
          <w:rStyle w:val="FootnoteReference"/>
          <w:rFonts w:ascii="Times New Roman" w:eastAsia="Times New Roman" w:hAnsi="Times New Roman" w:cs="Times New Roman"/>
        </w:rPr>
        <w:footnoteReference w:id="51"/>
      </w:r>
      <w:r w:rsidRPr="00CC5A2A">
        <w:rPr>
          <w:rFonts w:ascii="Times New Roman" w:eastAsia="Times New Roman" w:hAnsi="Times New Roman" w:cs="Times New Roman"/>
        </w:rPr>
        <w:t xml:space="preserve"> Positive rights require State intervention of some sort, and States that guarantee such rights thus have a more state-centered political economy than </w:t>
      </w:r>
      <w:r>
        <w:rPr>
          <w:rFonts w:ascii="Times New Roman" w:eastAsia="Times New Roman" w:hAnsi="Times New Roman" w:cs="Times New Roman"/>
        </w:rPr>
        <w:t>they would if such rights were not guaranteed</w:t>
      </w:r>
      <w:r w:rsidRPr="00CC5A2A">
        <w:rPr>
          <w:rFonts w:ascii="Times New Roman" w:eastAsia="Times New Roman" w:hAnsi="Times New Roman" w:cs="Times New Roman"/>
        </w:rPr>
        <w:t>.</w:t>
      </w:r>
    </w:p>
    <w:p w14:paraId="6C083CE4" w14:textId="78DC1482" w:rsidR="00435641" w:rsidRPr="00BA1F28" w:rsidRDefault="008A120A" w:rsidP="00CC5A2A">
      <w:pPr>
        <w:spacing w:line="480" w:lineRule="auto"/>
        <w:ind w:firstLine="360"/>
        <w:jc w:val="both"/>
        <w:rPr>
          <w:rFonts w:ascii="Times" w:eastAsia="Times New Roman" w:hAnsi="Times" w:cs="Times New Roman"/>
        </w:rPr>
      </w:pPr>
      <w:r>
        <w:rPr>
          <w:rFonts w:ascii="Times New Roman" w:eastAsia="Times New Roman" w:hAnsi="Times New Roman" w:cs="Times New Roman"/>
        </w:rPr>
        <w:t>The ideological differences between</w:t>
      </w:r>
      <w:r w:rsidR="009276EB" w:rsidRPr="00BA1F28">
        <w:rPr>
          <w:rFonts w:ascii="Times New Roman" w:eastAsia="Times New Roman" w:hAnsi="Times New Roman" w:cs="Times New Roman"/>
        </w:rPr>
        <w:t xml:space="preserve"> the US and India with respect to affirmative action</w:t>
      </w:r>
      <w:r w:rsidR="0074714D" w:rsidRPr="00BA1F28">
        <w:rPr>
          <w:rFonts w:ascii="Times New Roman" w:eastAsia="Times New Roman" w:hAnsi="Times New Roman" w:cs="Times New Roman"/>
        </w:rPr>
        <w:t xml:space="preserve"> is best illustrated by the United States’ refusal to recognize eco</w:t>
      </w:r>
      <w:r w:rsidR="002E1A17" w:rsidRPr="00BA1F28">
        <w:rPr>
          <w:rFonts w:ascii="Times New Roman" w:eastAsia="Times New Roman" w:hAnsi="Times New Roman" w:cs="Times New Roman"/>
        </w:rPr>
        <w:t>nomic, cultural and social (“esc</w:t>
      </w:r>
      <w:r w:rsidR="0074714D" w:rsidRPr="00BA1F28">
        <w:rPr>
          <w:rFonts w:ascii="Times New Roman" w:eastAsia="Times New Roman" w:hAnsi="Times New Roman" w:cs="Times New Roman"/>
        </w:rPr>
        <w:t xml:space="preserve">”) rights. </w:t>
      </w:r>
      <w:r w:rsidR="0074714D" w:rsidRPr="00BA1F28">
        <w:rPr>
          <w:rFonts w:ascii="Times New Roman" w:eastAsia="Times New Roman" w:hAnsi="Times New Roman" w:cs="Times New Roman"/>
          <w:u w:val="single"/>
        </w:rPr>
        <w:t>The Universal Declaration of Human Rights</w:t>
      </w:r>
      <w:r w:rsidR="0074714D" w:rsidRPr="00BA1F28">
        <w:rPr>
          <w:rFonts w:ascii="Times New Roman" w:eastAsia="Times New Roman" w:hAnsi="Times New Roman" w:cs="Times New Roman"/>
        </w:rPr>
        <w:t xml:space="preserve"> (“UDHR”) inaugurated the modern international human rights regime. The UDHR was only a declaration, however, and its substantive content was to be later reinforced by the two major Covenants that along with the UDHR constitute the ‘International Bill of Human Rights.’ They are the </w:t>
      </w:r>
      <w:r w:rsidR="0074714D" w:rsidRPr="00BA1F28">
        <w:rPr>
          <w:rFonts w:ascii="Times New Roman" w:eastAsia="Times New Roman" w:hAnsi="Times New Roman" w:cs="Times New Roman"/>
          <w:u w:val="single"/>
        </w:rPr>
        <w:t>International Covenant on Civil and Political Rights</w:t>
      </w:r>
      <w:r w:rsidR="0074714D" w:rsidRPr="00BA1F28">
        <w:rPr>
          <w:rFonts w:ascii="Times New Roman" w:eastAsia="Times New Roman" w:hAnsi="Times New Roman" w:cs="Times New Roman"/>
        </w:rPr>
        <w:t xml:space="preserve"> (“ICCPR”) and the </w:t>
      </w:r>
      <w:r w:rsidR="0074714D" w:rsidRPr="00BA1F28">
        <w:rPr>
          <w:rFonts w:ascii="Times New Roman" w:eastAsia="Times New Roman" w:hAnsi="Times New Roman" w:cs="Times New Roman"/>
          <w:u w:val="single"/>
        </w:rPr>
        <w:t xml:space="preserve">International Covenant </w:t>
      </w:r>
      <w:r w:rsidR="00D20C1A" w:rsidRPr="00BA1F28">
        <w:rPr>
          <w:rFonts w:ascii="Times New Roman" w:eastAsia="Times New Roman" w:hAnsi="Times New Roman" w:cs="Times New Roman"/>
          <w:u w:val="single"/>
        </w:rPr>
        <w:t>on Economic, Cultural and Social Rights</w:t>
      </w:r>
      <w:r w:rsidR="00D20C1A" w:rsidRPr="00BA1F28">
        <w:rPr>
          <w:rFonts w:ascii="Times New Roman" w:eastAsia="Times New Roman" w:hAnsi="Times New Roman" w:cs="Times New Roman"/>
        </w:rPr>
        <w:t xml:space="preserve"> (“ICESCR”). </w:t>
      </w:r>
      <w:r w:rsidR="00B54D75" w:rsidRPr="00BA1F28">
        <w:rPr>
          <w:rFonts w:ascii="Times New Roman" w:eastAsia="Times New Roman" w:hAnsi="Times New Roman" w:cs="Times New Roman"/>
        </w:rPr>
        <w:t>Traditionally, it has been understood that the ICCPR guarantees negative rights, while ICESCR guarantees positive rights.</w:t>
      </w:r>
      <w:r w:rsidR="008F7A17" w:rsidRPr="00BA1F28">
        <w:rPr>
          <w:rStyle w:val="FootnoteReference"/>
          <w:rFonts w:ascii="Times New Roman" w:eastAsia="Times New Roman" w:hAnsi="Times New Roman" w:cs="Times New Roman"/>
        </w:rPr>
        <w:footnoteReference w:id="52"/>
      </w:r>
    </w:p>
    <w:p w14:paraId="40D8E6A1" w14:textId="31067108" w:rsidR="0074714D" w:rsidRPr="00BA1F28" w:rsidRDefault="00B54D75" w:rsidP="009C23CA">
      <w:pPr>
        <w:spacing w:line="480" w:lineRule="auto"/>
        <w:ind w:firstLine="720"/>
        <w:jc w:val="both"/>
        <w:rPr>
          <w:rFonts w:ascii="Times New Roman" w:hAnsi="Times New Roman" w:cs="Times New Roman"/>
        </w:rPr>
      </w:pPr>
      <w:r w:rsidRPr="00BA1F28">
        <w:rPr>
          <w:rFonts w:ascii="Times New Roman" w:eastAsia="Times New Roman" w:hAnsi="Times New Roman" w:cs="Times New Roman"/>
        </w:rPr>
        <w:t>The US had a major role in drafting and passing the UDHR, signed and ratified the ICCPR, but has failed to ratify the ICESCR. A major reason for this was ideological.</w:t>
      </w:r>
      <w:r w:rsidR="002E1A17" w:rsidRPr="00BA1F28">
        <w:rPr>
          <w:rFonts w:ascii="Times New Roman" w:eastAsia="Times New Roman" w:hAnsi="Times New Roman" w:cs="Times New Roman"/>
        </w:rPr>
        <w:t xml:space="preserve"> </w:t>
      </w:r>
      <w:r w:rsidR="008A120A">
        <w:rPr>
          <w:rFonts w:ascii="Times New Roman" w:hAnsi="Times New Roman" w:cs="Times New Roman"/>
        </w:rPr>
        <w:t>The US</w:t>
      </w:r>
      <w:r w:rsidR="002E1A17" w:rsidRPr="00BA1F28">
        <w:rPr>
          <w:rFonts w:ascii="Times New Roman" w:hAnsi="Times New Roman" w:cs="Times New Roman"/>
        </w:rPr>
        <w:t xml:space="preserve"> Department of State </w:t>
      </w:r>
      <w:r w:rsidR="008A120A">
        <w:rPr>
          <w:rFonts w:ascii="Times New Roman" w:hAnsi="Times New Roman" w:cs="Times New Roman"/>
        </w:rPr>
        <w:t>originally refused to recognize</w:t>
      </w:r>
      <w:r w:rsidR="002E1A17" w:rsidRPr="00BA1F28">
        <w:rPr>
          <w:rFonts w:ascii="Times New Roman" w:hAnsi="Times New Roman" w:cs="Times New Roman"/>
        </w:rPr>
        <w:t xml:space="preserve"> esc rights </w:t>
      </w:r>
      <w:r w:rsidR="008A120A">
        <w:rPr>
          <w:rFonts w:ascii="Times New Roman" w:hAnsi="Times New Roman" w:cs="Times New Roman"/>
        </w:rPr>
        <w:t xml:space="preserve">because of the </w:t>
      </w:r>
      <w:r w:rsidR="002E1A17" w:rsidRPr="00BA1F28">
        <w:rPr>
          <w:rFonts w:ascii="Times New Roman" w:hAnsi="Times New Roman" w:cs="Times New Roman"/>
        </w:rPr>
        <w:t>ideological assumption that ICESCR was “a socialist manifesto thinly veiled in the language of rights.”</w:t>
      </w:r>
      <w:r w:rsidR="002E1A17" w:rsidRPr="00BA1F28">
        <w:rPr>
          <w:rStyle w:val="FootnoteReference"/>
          <w:rFonts w:ascii="Times New Roman" w:hAnsi="Times New Roman" w:cs="Times New Roman"/>
        </w:rPr>
        <w:footnoteReference w:id="53"/>
      </w:r>
      <w:r w:rsidR="002E1A17" w:rsidRPr="00BA1F28">
        <w:rPr>
          <w:rFonts w:ascii="Times New Roman" w:hAnsi="Times New Roman" w:cs="Times New Roman"/>
        </w:rPr>
        <w:t xml:space="preserve"> </w:t>
      </w:r>
      <w:r w:rsidR="008A120A">
        <w:rPr>
          <w:rFonts w:ascii="Times New Roman" w:hAnsi="Times New Roman" w:cs="Times New Roman"/>
        </w:rPr>
        <w:t>Here</w:t>
      </w:r>
      <w:r w:rsidR="00EA43B0" w:rsidRPr="00BA1F28">
        <w:rPr>
          <w:rFonts w:ascii="Times New Roman" w:hAnsi="Times New Roman" w:cs="Times New Roman"/>
        </w:rPr>
        <w:t xml:space="preserve">, ideology bleeds into political economy since in the US negative rights are associated with Locke and his successors, including the Founding Fathers, while positive rights are </w:t>
      </w:r>
      <w:r w:rsidR="00E31BF4" w:rsidRPr="00BA1F28">
        <w:rPr>
          <w:rFonts w:ascii="Times New Roman" w:hAnsi="Times New Roman" w:cs="Times New Roman"/>
        </w:rPr>
        <w:t xml:space="preserve">associated </w:t>
      </w:r>
      <w:r w:rsidR="00EA43B0" w:rsidRPr="00BA1F28">
        <w:rPr>
          <w:rFonts w:ascii="Times New Roman" w:hAnsi="Times New Roman" w:cs="Times New Roman"/>
        </w:rPr>
        <w:t>with critics of liberalism, e.g. Marxists.</w:t>
      </w:r>
      <w:r w:rsidR="00EA43B0" w:rsidRPr="00BA1F28">
        <w:rPr>
          <w:rStyle w:val="FootnoteReference"/>
          <w:rFonts w:ascii="Times New Roman" w:hAnsi="Times New Roman" w:cs="Times New Roman"/>
        </w:rPr>
        <w:footnoteReference w:id="54"/>
      </w:r>
    </w:p>
    <w:p w14:paraId="59DA8218" w14:textId="39DBD9BB" w:rsidR="00D80457" w:rsidRPr="00BA1F28" w:rsidRDefault="00D80457" w:rsidP="009C23CA">
      <w:pPr>
        <w:spacing w:line="480" w:lineRule="auto"/>
        <w:ind w:firstLine="720"/>
        <w:jc w:val="both"/>
        <w:rPr>
          <w:rFonts w:ascii="Times New Roman" w:eastAsia="Times New Roman" w:hAnsi="Times New Roman" w:cs="Times New Roman"/>
          <w:color w:val="000000" w:themeColor="text1"/>
          <w:shd w:val="clear" w:color="auto" w:fill="FFFFFF"/>
        </w:rPr>
      </w:pPr>
      <w:r w:rsidRPr="00BA1F28">
        <w:rPr>
          <w:rFonts w:ascii="Times New Roman" w:eastAsia="Times New Roman" w:hAnsi="Times New Roman" w:cs="Times New Roman"/>
        </w:rPr>
        <w:lastRenderedPageBreak/>
        <w:t>The Committee on Economic, Cultural and Social Rights has done much to elaborate on the nature of Sta</w:t>
      </w:r>
      <w:r w:rsidR="00511690" w:rsidRPr="00BA1F28">
        <w:rPr>
          <w:rFonts w:ascii="Times New Roman" w:eastAsia="Times New Roman" w:hAnsi="Times New Roman" w:cs="Times New Roman"/>
        </w:rPr>
        <w:t xml:space="preserve">te obligations under the ICESCR, </w:t>
      </w:r>
      <w:r w:rsidR="00511690" w:rsidRPr="00BA1F28">
        <w:rPr>
          <w:rFonts w:ascii="Times New Roman" w:eastAsia="Times New Roman" w:hAnsi="Times New Roman" w:cs="Times New Roman"/>
          <w:color w:val="000000" w:themeColor="text1"/>
        </w:rPr>
        <w:t xml:space="preserve">especially </w:t>
      </w:r>
      <w:r w:rsidRPr="00BA1F28">
        <w:rPr>
          <w:rFonts w:ascii="Times New Roman" w:eastAsia="Times New Roman" w:hAnsi="Times New Roman" w:cs="Times New Roman"/>
          <w:color w:val="000000" w:themeColor="text1"/>
        </w:rPr>
        <w:t>in relation to ‘positive’ rights in general; States have obligations to respect, protect, and fulfill rights. The obligation to fulfill rights “</w:t>
      </w:r>
      <w:r w:rsidRPr="00BA1F28">
        <w:rPr>
          <w:rFonts w:ascii="Times New Roman" w:eastAsia="Times New Roman" w:hAnsi="Times New Roman" w:cs="Times New Roman"/>
          <w:color w:val="000000" w:themeColor="text1"/>
          <w:shd w:val="clear" w:color="auto" w:fill="FFFFFF"/>
        </w:rPr>
        <w:t>demands an active role by the State, be it in the form of legislation, administrative, budgetary, and judicial or other measures.”</w:t>
      </w:r>
      <w:r w:rsidRPr="00BA1F28">
        <w:rPr>
          <w:rStyle w:val="FootnoteReference"/>
          <w:rFonts w:ascii="Times New Roman" w:eastAsia="Times New Roman" w:hAnsi="Times New Roman" w:cs="Times New Roman"/>
          <w:color w:val="000000" w:themeColor="text1"/>
          <w:shd w:val="clear" w:color="auto" w:fill="FFFFFF"/>
        </w:rPr>
        <w:footnoteReference w:id="55"/>
      </w:r>
      <w:r w:rsidRPr="00BA1F28">
        <w:rPr>
          <w:rFonts w:ascii="Times New Roman" w:eastAsia="Times New Roman" w:hAnsi="Times New Roman" w:cs="Times New Roman"/>
          <w:color w:val="000000" w:themeColor="text1"/>
          <w:shd w:val="clear" w:color="auto" w:fill="FFFFFF"/>
        </w:rPr>
        <w:t xml:space="preserve"> Such an obligation shows how the international human rights </w:t>
      </w:r>
      <w:r w:rsidR="009276EB" w:rsidRPr="00BA1F28">
        <w:rPr>
          <w:rFonts w:ascii="Times New Roman" w:eastAsia="Times New Roman" w:hAnsi="Times New Roman" w:cs="Times New Roman"/>
          <w:color w:val="000000" w:themeColor="text1"/>
          <w:shd w:val="clear" w:color="auto" w:fill="FFFFFF"/>
        </w:rPr>
        <w:t xml:space="preserve">community </w:t>
      </w:r>
      <w:r w:rsidRPr="00BA1F28">
        <w:rPr>
          <w:rFonts w:ascii="Times New Roman" w:eastAsia="Times New Roman" w:hAnsi="Times New Roman" w:cs="Times New Roman"/>
          <w:color w:val="000000" w:themeColor="text1"/>
          <w:shd w:val="clear" w:color="auto" w:fill="FFFFFF"/>
        </w:rPr>
        <w:t>has come to understand State obligations with respect to those ‘positive’ rights that the United States has continuously refused to recognize.</w:t>
      </w:r>
    </w:p>
    <w:p w14:paraId="423CB8E5" w14:textId="0B9CB32B" w:rsidR="009276EB" w:rsidRPr="00BA1F28" w:rsidRDefault="009918E9" w:rsidP="009C23CA">
      <w:pPr>
        <w:spacing w:line="480" w:lineRule="auto"/>
        <w:ind w:firstLine="720"/>
        <w:jc w:val="both"/>
        <w:rPr>
          <w:rFonts w:ascii="Times New Roman" w:hAnsi="Times New Roman" w:cs="Times New Roman"/>
        </w:rPr>
      </w:pPr>
      <w:r w:rsidRPr="00BA1F28">
        <w:rPr>
          <w:rFonts w:ascii="Times New Roman" w:eastAsia="Times New Roman" w:hAnsi="Times New Roman" w:cs="Times New Roman"/>
          <w:color w:val="000000" w:themeColor="text1"/>
          <w:shd w:val="clear" w:color="auto" w:fill="FFFFFF"/>
        </w:rPr>
        <w:t xml:space="preserve">International human rights law has also specifically addressed affirmative action. Both </w:t>
      </w:r>
      <w:r w:rsidRPr="00BA1F28">
        <w:rPr>
          <w:rFonts w:ascii="Times New Roman" w:hAnsi="Times New Roman" w:cs="Times New Roman"/>
          <w:color w:val="000000" w:themeColor="text1"/>
        </w:rPr>
        <w:t xml:space="preserve">the </w:t>
      </w:r>
      <w:r w:rsidRPr="00BA1F28">
        <w:rPr>
          <w:rFonts w:ascii="Times New Roman" w:hAnsi="Times New Roman" w:cs="Times New Roman"/>
          <w:color w:val="000000" w:themeColor="text1"/>
          <w:u w:val="single"/>
        </w:rPr>
        <w:t xml:space="preserve">International Convention on the Elimination of All Forms of Racial Discrimination </w:t>
      </w:r>
      <w:r w:rsidRPr="00BA1F28">
        <w:rPr>
          <w:rFonts w:ascii="Times New Roman" w:hAnsi="Times New Roman" w:cs="Times New Roman"/>
          <w:color w:val="000000" w:themeColor="text1"/>
        </w:rPr>
        <w:t>(ICERD)</w:t>
      </w:r>
      <w:r w:rsidRPr="00BA1F28">
        <w:rPr>
          <w:rStyle w:val="FootnoteReference"/>
          <w:rFonts w:ascii="Times New Roman" w:hAnsi="Times New Roman" w:cs="Times New Roman"/>
          <w:color w:val="000000" w:themeColor="text1"/>
        </w:rPr>
        <w:footnoteReference w:id="56"/>
      </w:r>
      <w:r w:rsidRPr="00BA1F28">
        <w:rPr>
          <w:rFonts w:ascii="Times New Roman" w:hAnsi="Times New Roman" w:cs="Times New Roman"/>
          <w:color w:val="000000" w:themeColor="text1"/>
        </w:rPr>
        <w:t xml:space="preserve"> and the </w:t>
      </w:r>
      <w:r w:rsidRPr="00BA1F28">
        <w:rPr>
          <w:rFonts w:ascii="Times New Roman" w:hAnsi="Times New Roman" w:cs="Times New Roman"/>
          <w:color w:val="000000" w:themeColor="text1"/>
          <w:u w:val="single"/>
        </w:rPr>
        <w:t>Convention on the Elimination of All Forms of Discrimination Against Women</w:t>
      </w:r>
      <w:r w:rsidRPr="00BA1F28">
        <w:rPr>
          <w:rFonts w:ascii="Times New Roman" w:hAnsi="Times New Roman" w:cs="Times New Roman"/>
          <w:color w:val="000000" w:themeColor="text1"/>
        </w:rPr>
        <w:t xml:space="preserve"> (CEDAW) include affirmative action provisions.</w:t>
      </w:r>
      <w:r w:rsidR="008916DB" w:rsidRPr="00BA1F28">
        <w:rPr>
          <w:rStyle w:val="FootnoteReference"/>
          <w:rFonts w:ascii="Times New Roman" w:hAnsi="Times New Roman" w:cs="Times New Roman"/>
          <w:color w:val="000000" w:themeColor="text1"/>
        </w:rPr>
        <w:footnoteReference w:id="57"/>
      </w:r>
      <w:r w:rsidRPr="00BA1F28">
        <w:rPr>
          <w:rFonts w:ascii="Times New Roman" w:hAnsi="Times New Roman" w:cs="Times New Roman"/>
          <w:color w:val="000000" w:themeColor="text1"/>
        </w:rPr>
        <w:t xml:space="preserve"> </w:t>
      </w:r>
      <w:r w:rsidR="00DC0483" w:rsidRPr="00BA1F28">
        <w:rPr>
          <w:rFonts w:ascii="Times New Roman" w:hAnsi="Times New Roman" w:cs="Times New Roman"/>
          <w:color w:val="000000" w:themeColor="text1"/>
        </w:rPr>
        <w:t xml:space="preserve">Importantly, the CEDAW Committee has elaborated that ‘temporary special measures’ to accelerate </w:t>
      </w:r>
      <w:r w:rsidR="00DC0483" w:rsidRPr="00BA1F28">
        <w:rPr>
          <w:rFonts w:ascii="Times New Roman" w:hAnsi="Times New Roman" w:cs="Times New Roman"/>
          <w:i/>
          <w:color w:val="000000" w:themeColor="text1"/>
        </w:rPr>
        <w:t>de facto</w:t>
      </w:r>
      <w:r w:rsidR="00DC0483" w:rsidRPr="00BA1F28">
        <w:rPr>
          <w:rFonts w:ascii="Times New Roman" w:hAnsi="Times New Roman" w:cs="Times New Roman"/>
          <w:color w:val="000000" w:themeColor="text1"/>
        </w:rPr>
        <w:t xml:space="preserve"> </w:t>
      </w:r>
      <w:r w:rsidR="003D03F8">
        <w:rPr>
          <w:rFonts w:ascii="Times New Roman" w:hAnsi="Times New Roman" w:cs="Times New Roman"/>
          <w:color w:val="000000" w:themeColor="text1"/>
        </w:rPr>
        <w:t>equality</w:t>
      </w:r>
      <w:r w:rsidR="00DC0483" w:rsidRPr="00BA1F28">
        <w:rPr>
          <w:rFonts w:ascii="Times New Roman" w:hAnsi="Times New Roman" w:cs="Times New Roman"/>
        </w:rPr>
        <w:t xml:space="preserve"> includes the use of quotas.</w:t>
      </w:r>
      <w:r w:rsidR="00DC0483" w:rsidRPr="00BA1F28">
        <w:rPr>
          <w:rStyle w:val="FootnoteReference"/>
          <w:rFonts w:ascii="Times New Roman" w:hAnsi="Times New Roman" w:cs="Times New Roman"/>
        </w:rPr>
        <w:footnoteReference w:id="58"/>
      </w:r>
      <w:r w:rsidR="00DC0483" w:rsidRPr="00BA1F28">
        <w:rPr>
          <w:rFonts w:ascii="Times New Roman" w:hAnsi="Times New Roman" w:cs="Times New Roman"/>
        </w:rPr>
        <w:t xml:space="preserve"> </w:t>
      </w:r>
    </w:p>
    <w:p w14:paraId="70F9AA21" w14:textId="72B98162" w:rsidR="009918E9" w:rsidRPr="00BA1F28" w:rsidRDefault="009276EB" w:rsidP="009C23CA">
      <w:pPr>
        <w:pStyle w:val="ListParagraph"/>
        <w:numPr>
          <w:ilvl w:val="0"/>
          <w:numId w:val="9"/>
        </w:numPr>
        <w:spacing w:line="480" w:lineRule="auto"/>
        <w:jc w:val="both"/>
        <w:rPr>
          <w:rFonts w:ascii="Times New Roman" w:eastAsia="Times New Roman" w:hAnsi="Times New Roman" w:cs="Times New Roman"/>
          <w:color w:val="333333"/>
          <w:u w:val="single"/>
          <w:shd w:val="clear" w:color="auto" w:fill="FFFFFF"/>
        </w:rPr>
      </w:pPr>
      <w:r w:rsidRPr="00BA1F28">
        <w:rPr>
          <w:rFonts w:ascii="Times New Roman" w:eastAsia="Times New Roman" w:hAnsi="Times New Roman" w:cs="Times New Roman"/>
          <w:color w:val="333333"/>
          <w:u w:val="single"/>
          <w:shd w:val="clear" w:color="auto" w:fill="FFFFFF"/>
        </w:rPr>
        <w:t>India and International Human Rights Law</w:t>
      </w:r>
    </w:p>
    <w:p w14:paraId="00B16A06" w14:textId="09C77E40" w:rsidR="008B47AA" w:rsidRPr="00BA1F28" w:rsidRDefault="00EB31C0" w:rsidP="009C23CA">
      <w:pPr>
        <w:spacing w:line="480" w:lineRule="auto"/>
        <w:ind w:firstLine="720"/>
        <w:jc w:val="both"/>
        <w:rPr>
          <w:rFonts w:ascii="Times New Roman" w:hAnsi="Times New Roman" w:cs="Times New Roman"/>
        </w:rPr>
      </w:pPr>
      <w:r w:rsidRPr="00BA1F28">
        <w:rPr>
          <w:rFonts w:ascii="Times New Roman" w:hAnsi="Times New Roman" w:cs="Times New Roman"/>
        </w:rPr>
        <w:lastRenderedPageBreak/>
        <w:t xml:space="preserve">In comparison to the United States, Indian jurisprudence on affirmative action is more consistent with the international human rights regime and the obligations of the States to guarantee ‘positive’ esc rights. </w:t>
      </w:r>
      <w:r w:rsidR="00E379A1" w:rsidRPr="00BA1F28">
        <w:rPr>
          <w:rFonts w:ascii="Times New Roman" w:hAnsi="Times New Roman" w:cs="Times New Roman"/>
        </w:rPr>
        <w:t xml:space="preserve">For example, Part IV of the Constitution of India lays out the Directive Principles of State Policy, which include a litany of non-justiciable State obligations that are consistent with the </w:t>
      </w:r>
      <w:r w:rsidR="008B47AA" w:rsidRPr="00BA1F28">
        <w:rPr>
          <w:rFonts w:ascii="Times New Roman" w:hAnsi="Times New Roman" w:cs="Times New Roman"/>
        </w:rPr>
        <w:t xml:space="preserve">language of a </w:t>
      </w:r>
      <w:r w:rsidR="00E379A1" w:rsidRPr="00BA1F28">
        <w:rPr>
          <w:rFonts w:ascii="Times New Roman" w:hAnsi="Times New Roman" w:cs="Times New Roman"/>
        </w:rPr>
        <w:t>duty to fulfill</w:t>
      </w:r>
      <w:r w:rsidR="008B47AA" w:rsidRPr="00BA1F28">
        <w:rPr>
          <w:rFonts w:ascii="Times New Roman" w:hAnsi="Times New Roman" w:cs="Times New Roman"/>
        </w:rPr>
        <w:t>, e.g. “</w:t>
      </w:r>
      <w:r w:rsidR="008B47AA" w:rsidRPr="00BA1F28">
        <w:rPr>
          <w:rFonts w:ascii="Times New Roman" w:eastAsia="Times New Roman" w:hAnsi="Times New Roman" w:cs="Times New Roman"/>
        </w:rPr>
        <w:t>[t]he State shall, within the limits of its economic capacity and development, make effective provision for securing the right to work, to education and to public assistance in cases of unemployment, old age, sickness and disablement, and in other cases of undeserved want.”</w:t>
      </w:r>
      <w:r w:rsidR="008B47AA" w:rsidRPr="00BA1F28">
        <w:rPr>
          <w:rStyle w:val="FootnoteReference"/>
          <w:rFonts w:ascii="Times New Roman" w:eastAsia="Times New Roman" w:hAnsi="Times New Roman" w:cs="Times New Roman"/>
        </w:rPr>
        <w:footnoteReference w:id="59"/>
      </w:r>
      <w:r w:rsidR="008B47AA" w:rsidRPr="00BA1F28">
        <w:rPr>
          <w:rFonts w:ascii="Times New Roman" w:eastAsia="Times New Roman" w:hAnsi="Times New Roman" w:cs="Times New Roman"/>
        </w:rPr>
        <w:t xml:space="preserve"> </w:t>
      </w:r>
      <w:r w:rsidR="00E379A1" w:rsidRPr="00BA1F28">
        <w:rPr>
          <w:rFonts w:ascii="Times New Roman" w:hAnsi="Times New Roman" w:cs="Times New Roman"/>
        </w:rPr>
        <w:t xml:space="preserve">Part IV </w:t>
      </w:r>
      <w:r w:rsidR="008B47AA" w:rsidRPr="00BA1F28">
        <w:rPr>
          <w:rFonts w:ascii="Times New Roman" w:hAnsi="Times New Roman" w:cs="Times New Roman"/>
        </w:rPr>
        <w:t xml:space="preserve">also </w:t>
      </w:r>
      <w:r w:rsidR="00E379A1" w:rsidRPr="00BA1F28">
        <w:rPr>
          <w:rFonts w:ascii="Times New Roman" w:hAnsi="Times New Roman" w:cs="Times New Roman"/>
        </w:rPr>
        <w:t>includes Article 38’s requirement</w:t>
      </w:r>
      <w:r w:rsidR="008B47AA" w:rsidRPr="00BA1F28">
        <w:rPr>
          <w:rFonts w:ascii="Times New Roman" w:hAnsi="Times New Roman" w:cs="Times New Roman"/>
        </w:rPr>
        <w:t xml:space="preserve"> (referred to in </w:t>
      </w:r>
      <w:r w:rsidR="008B47AA" w:rsidRPr="00BA1F28">
        <w:rPr>
          <w:rFonts w:ascii="Times New Roman" w:hAnsi="Times New Roman" w:cs="Times New Roman"/>
          <w:u w:val="single"/>
        </w:rPr>
        <w:t>Ashoka</w:t>
      </w:r>
      <w:r w:rsidR="008B47AA" w:rsidRPr="00BA1F28">
        <w:rPr>
          <w:rFonts w:ascii="Times New Roman" w:hAnsi="Times New Roman" w:cs="Times New Roman"/>
        </w:rPr>
        <w:t>)</w:t>
      </w:r>
      <w:r w:rsidR="00E379A1" w:rsidRPr="00BA1F28">
        <w:rPr>
          <w:rFonts w:ascii="Times New Roman" w:hAnsi="Times New Roman" w:cs="Times New Roman"/>
        </w:rPr>
        <w:t xml:space="preserve"> that the State endeavor to eliminate inequalities</w:t>
      </w:r>
      <w:r w:rsidR="008B47AA" w:rsidRPr="00BA1F28">
        <w:rPr>
          <w:rFonts w:ascii="Times New Roman" w:hAnsi="Times New Roman" w:cs="Times New Roman"/>
        </w:rPr>
        <w:t xml:space="preserve"> in status, facilities and </w:t>
      </w:r>
      <w:r w:rsidR="00E379A1" w:rsidRPr="00BA1F28">
        <w:rPr>
          <w:rFonts w:ascii="Times New Roman" w:hAnsi="Times New Roman" w:cs="Times New Roman"/>
        </w:rPr>
        <w:t xml:space="preserve">opportunities. </w:t>
      </w:r>
    </w:p>
    <w:p w14:paraId="75D618ED" w14:textId="5B872FB3" w:rsidR="005D298F" w:rsidRPr="00BA1F28" w:rsidRDefault="00EB31C0" w:rsidP="009C23CA">
      <w:pPr>
        <w:spacing w:line="480" w:lineRule="auto"/>
        <w:ind w:firstLine="720"/>
        <w:jc w:val="both"/>
        <w:rPr>
          <w:rFonts w:ascii="Times New Roman" w:eastAsia="Times New Roman" w:hAnsi="Times New Roman" w:cs="Times New Roman"/>
        </w:rPr>
      </w:pPr>
      <w:r w:rsidRPr="00BA1F28">
        <w:rPr>
          <w:rFonts w:ascii="Times New Roman" w:hAnsi="Times New Roman" w:cs="Times New Roman"/>
        </w:rPr>
        <w:t xml:space="preserve">In </w:t>
      </w:r>
      <w:r w:rsidRPr="00BA1F28">
        <w:rPr>
          <w:rFonts w:ascii="Times New Roman" w:hAnsi="Times New Roman" w:cs="Times New Roman"/>
          <w:u w:val="single"/>
        </w:rPr>
        <w:t>Ashoka</w:t>
      </w:r>
      <w:r w:rsidRPr="00BA1F28">
        <w:rPr>
          <w:rFonts w:ascii="Times New Roman" w:hAnsi="Times New Roman" w:cs="Times New Roman"/>
        </w:rPr>
        <w:t>, the Chief Justice specifically refers to the UDHR,</w:t>
      </w:r>
      <w:r w:rsidRPr="00BA1F28">
        <w:rPr>
          <w:rStyle w:val="FootnoteReference"/>
          <w:rFonts w:ascii="Times New Roman" w:hAnsi="Times New Roman" w:cs="Times New Roman"/>
        </w:rPr>
        <w:footnoteReference w:id="60"/>
      </w:r>
      <w:r w:rsidRPr="00BA1F28">
        <w:rPr>
          <w:rFonts w:ascii="Times New Roman" w:hAnsi="Times New Roman" w:cs="Times New Roman"/>
        </w:rPr>
        <w:t xml:space="preserve"> </w:t>
      </w:r>
      <w:r w:rsidR="00511690" w:rsidRPr="00BA1F28">
        <w:rPr>
          <w:rFonts w:ascii="Times New Roman" w:hAnsi="Times New Roman" w:cs="Times New Roman"/>
        </w:rPr>
        <w:t>asserts that there is no</w:t>
      </w:r>
      <w:r w:rsidR="008B47AA" w:rsidRPr="00BA1F28">
        <w:rPr>
          <w:rFonts w:ascii="Times New Roman" w:hAnsi="Times New Roman" w:cs="Times New Roman"/>
        </w:rPr>
        <w:t xml:space="preserve"> </w:t>
      </w:r>
      <w:r w:rsidR="00E379A1" w:rsidRPr="00BA1F28">
        <w:rPr>
          <w:rFonts w:ascii="Times New Roman" w:hAnsi="Times New Roman" w:cs="Times New Roman"/>
        </w:rPr>
        <w:t>distin</w:t>
      </w:r>
      <w:r w:rsidR="008B47AA" w:rsidRPr="00BA1F28">
        <w:rPr>
          <w:rFonts w:ascii="Times New Roman" w:hAnsi="Times New Roman" w:cs="Times New Roman"/>
        </w:rPr>
        <w:t>ction between civil/political rights (‘negative’ rights) and economic/social (‘positive’ rights),</w:t>
      </w:r>
      <w:r w:rsidR="00DE0358" w:rsidRPr="00BA1F28">
        <w:rPr>
          <w:rStyle w:val="FootnoteReference"/>
          <w:rFonts w:ascii="Times New Roman" w:hAnsi="Times New Roman" w:cs="Times New Roman"/>
        </w:rPr>
        <w:footnoteReference w:id="61"/>
      </w:r>
      <w:r w:rsidR="008B47AA" w:rsidRPr="00BA1F28">
        <w:rPr>
          <w:rFonts w:ascii="Times New Roman" w:hAnsi="Times New Roman" w:cs="Times New Roman"/>
        </w:rPr>
        <w:t xml:space="preserve"> and argues that the Directive Principles “give </w:t>
      </w:r>
      <w:r w:rsidRPr="00BA1F28">
        <w:rPr>
          <w:rFonts w:ascii="Times New Roman" w:eastAsia="Times New Roman" w:hAnsi="Times New Roman" w:cs="Times New Roman"/>
        </w:rPr>
        <w:t>a positive mandate to the State and the State is obliged to remove inequalitie</w:t>
      </w:r>
      <w:r w:rsidR="008B47AA" w:rsidRPr="00BA1F28">
        <w:rPr>
          <w:rFonts w:ascii="Times New Roman" w:eastAsia="Times New Roman" w:hAnsi="Times New Roman" w:cs="Times New Roman"/>
        </w:rPr>
        <w:t>s and backwardness from society.”</w:t>
      </w:r>
      <w:r w:rsidR="008B47AA" w:rsidRPr="00BA1F28">
        <w:rPr>
          <w:rStyle w:val="FootnoteReference"/>
          <w:rFonts w:ascii="Times New Roman" w:eastAsia="Times New Roman" w:hAnsi="Times New Roman" w:cs="Times New Roman"/>
        </w:rPr>
        <w:footnoteReference w:id="62"/>
      </w:r>
      <w:r w:rsidR="00DE0358" w:rsidRPr="00BA1F28">
        <w:rPr>
          <w:rFonts w:ascii="Times New Roman" w:eastAsia="Times New Roman" w:hAnsi="Times New Roman" w:cs="Times New Roman"/>
        </w:rPr>
        <w:t xml:space="preserve"> The second point is particularly important because critical to the international human rights regime is the </w:t>
      </w:r>
      <w:r w:rsidR="00154724" w:rsidRPr="00BA1F28">
        <w:rPr>
          <w:rFonts w:ascii="Times New Roman" w:eastAsia="Times New Roman" w:hAnsi="Times New Roman" w:cs="Times New Roman"/>
        </w:rPr>
        <w:t>interdependence of human rights.</w:t>
      </w:r>
      <w:r w:rsidR="00154724" w:rsidRPr="00BA1F28">
        <w:rPr>
          <w:rStyle w:val="FootnoteReference"/>
          <w:rFonts w:ascii="Times New Roman" w:eastAsia="Times New Roman" w:hAnsi="Times New Roman" w:cs="Times New Roman"/>
        </w:rPr>
        <w:footnoteReference w:id="63"/>
      </w:r>
    </w:p>
    <w:p w14:paraId="06210A85" w14:textId="1519CD60" w:rsidR="00F6106E" w:rsidRPr="00BA1F28" w:rsidRDefault="00F6106E" w:rsidP="009C23CA">
      <w:pPr>
        <w:pStyle w:val="ListParagraph"/>
        <w:numPr>
          <w:ilvl w:val="0"/>
          <w:numId w:val="9"/>
        </w:numPr>
        <w:spacing w:line="480" w:lineRule="auto"/>
        <w:jc w:val="both"/>
        <w:rPr>
          <w:rFonts w:ascii="Times New Roman" w:eastAsia="Times New Roman" w:hAnsi="Times New Roman" w:cs="Times New Roman"/>
          <w:u w:val="single"/>
        </w:rPr>
      </w:pPr>
      <w:r w:rsidRPr="00BA1F28">
        <w:rPr>
          <w:rFonts w:ascii="Times New Roman" w:eastAsia="Times New Roman" w:hAnsi="Times New Roman" w:cs="Times New Roman"/>
          <w:u w:val="single"/>
        </w:rPr>
        <w:t>The United States and International Human Rights Law</w:t>
      </w:r>
    </w:p>
    <w:p w14:paraId="77947260" w14:textId="5A4A1552" w:rsidR="007145D4" w:rsidRPr="00BA1F28" w:rsidRDefault="000356E1" w:rsidP="009C23CA">
      <w:pPr>
        <w:spacing w:line="480" w:lineRule="auto"/>
        <w:jc w:val="both"/>
        <w:rPr>
          <w:rFonts w:ascii="Times New Roman" w:hAnsi="Times New Roman" w:cs="Times New Roman"/>
        </w:rPr>
      </w:pPr>
      <w:r>
        <w:rPr>
          <w:rFonts w:ascii="Times New Roman" w:hAnsi="Times New Roman" w:cs="Times New Roman"/>
        </w:rPr>
        <w:lastRenderedPageBreak/>
        <w:tab/>
        <w:t xml:space="preserve">Although </w:t>
      </w:r>
      <w:r w:rsidR="00F6106E" w:rsidRPr="00BA1F28">
        <w:rPr>
          <w:rFonts w:ascii="Times New Roman" w:hAnsi="Times New Roman" w:cs="Times New Roman"/>
        </w:rPr>
        <w:t xml:space="preserve">no majority opinion of the </w:t>
      </w:r>
      <w:r w:rsidR="005659DA" w:rsidRPr="00BA1F28">
        <w:rPr>
          <w:rFonts w:ascii="Times New Roman" w:hAnsi="Times New Roman" w:cs="Times New Roman"/>
        </w:rPr>
        <w:t xml:space="preserve">Supreme Court of the United States has </w:t>
      </w:r>
      <w:r w:rsidR="00F6106E" w:rsidRPr="00BA1F28">
        <w:rPr>
          <w:rFonts w:ascii="Times New Roman" w:hAnsi="Times New Roman" w:cs="Times New Roman"/>
        </w:rPr>
        <w:t>specifically e</w:t>
      </w:r>
      <w:r w:rsidR="005659DA" w:rsidRPr="00BA1F28">
        <w:rPr>
          <w:rFonts w:ascii="Times New Roman" w:hAnsi="Times New Roman" w:cs="Times New Roman"/>
        </w:rPr>
        <w:t>ngaged with the international human rights regime in its affirmative action jurisprudence, its position can be implied by the opinions of Ju</w:t>
      </w:r>
      <w:r>
        <w:rPr>
          <w:rFonts w:ascii="Times New Roman" w:hAnsi="Times New Roman" w:cs="Times New Roman"/>
        </w:rPr>
        <w:t>stice Ruth Bader Ginsburg in her</w:t>
      </w:r>
      <w:r w:rsidR="005659DA" w:rsidRPr="00BA1F28">
        <w:rPr>
          <w:rFonts w:ascii="Times New Roman" w:hAnsi="Times New Roman" w:cs="Times New Roman"/>
        </w:rPr>
        <w:t xml:space="preserve"> </w:t>
      </w:r>
      <w:r w:rsidR="005659DA" w:rsidRPr="00BA1F28">
        <w:rPr>
          <w:rFonts w:ascii="Times New Roman" w:hAnsi="Times New Roman" w:cs="Times New Roman"/>
          <w:u w:val="single"/>
        </w:rPr>
        <w:t>Grutter</w:t>
      </w:r>
      <w:r w:rsidR="005659DA" w:rsidRPr="00BA1F28">
        <w:rPr>
          <w:rFonts w:ascii="Times New Roman" w:hAnsi="Times New Roman" w:cs="Times New Roman"/>
        </w:rPr>
        <w:t xml:space="preserve"> and </w:t>
      </w:r>
      <w:r w:rsidR="005659DA" w:rsidRPr="00BA1F28">
        <w:rPr>
          <w:rFonts w:ascii="Times New Roman" w:hAnsi="Times New Roman" w:cs="Times New Roman"/>
          <w:u w:val="single"/>
        </w:rPr>
        <w:t>Gratz</w:t>
      </w:r>
      <w:r w:rsidR="005659DA" w:rsidRPr="00BA1F28">
        <w:rPr>
          <w:rFonts w:ascii="Times New Roman" w:hAnsi="Times New Roman" w:cs="Times New Roman"/>
        </w:rPr>
        <w:t xml:space="preserve"> </w:t>
      </w:r>
      <w:r>
        <w:rPr>
          <w:rFonts w:ascii="Times New Roman" w:hAnsi="Times New Roman" w:cs="Times New Roman"/>
        </w:rPr>
        <w:t>opinions</w:t>
      </w:r>
      <w:r w:rsidR="005659DA" w:rsidRPr="00BA1F28">
        <w:rPr>
          <w:rFonts w:ascii="Times New Roman" w:hAnsi="Times New Roman" w:cs="Times New Roman"/>
        </w:rPr>
        <w:t>.</w:t>
      </w:r>
      <w:r w:rsidR="00C027A9" w:rsidRPr="00BA1F28">
        <w:rPr>
          <w:rFonts w:ascii="Times New Roman" w:hAnsi="Times New Roman" w:cs="Times New Roman"/>
        </w:rPr>
        <w:t xml:space="preserve"> </w:t>
      </w:r>
    </w:p>
    <w:p w14:paraId="014462F6" w14:textId="3D013052" w:rsidR="003C5087" w:rsidRPr="00BA1F28" w:rsidRDefault="00C027A9" w:rsidP="009C23CA">
      <w:pPr>
        <w:spacing w:line="480" w:lineRule="auto"/>
        <w:jc w:val="both"/>
        <w:rPr>
          <w:rFonts w:ascii="Times New Roman" w:hAnsi="Times New Roman" w:cs="Times New Roman"/>
        </w:rPr>
      </w:pPr>
      <w:r w:rsidRPr="00BA1F28">
        <w:rPr>
          <w:rFonts w:ascii="Times New Roman" w:hAnsi="Times New Roman" w:cs="Times New Roman"/>
        </w:rPr>
        <w:tab/>
      </w:r>
      <w:r w:rsidR="005659DA" w:rsidRPr="00BA1F28">
        <w:rPr>
          <w:rFonts w:ascii="Times New Roman" w:hAnsi="Times New Roman" w:cs="Times New Roman"/>
        </w:rPr>
        <w:t>For example, a</w:t>
      </w:r>
      <w:r w:rsidR="007145D4" w:rsidRPr="00BA1F28">
        <w:rPr>
          <w:rFonts w:ascii="Times New Roman" w:hAnsi="Times New Roman" w:cs="Times New Roman"/>
        </w:rPr>
        <w:t>lthough she agrees with the majority that a quota system would be impermissible,</w:t>
      </w:r>
      <w:r w:rsidR="007145D4" w:rsidRPr="00BA1F28">
        <w:rPr>
          <w:rStyle w:val="FootnoteReference"/>
          <w:rFonts w:ascii="Times New Roman" w:hAnsi="Times New Roman" w:cs="Times New Roman"/>
        </w:rPr>
        <w:footnoteReference w:id="64"/>
      </w:r>
      <w:r w:rsidR="007145D4" w:rsidRPr="00BA1F28">
        <w:rPr>
          <w:rFonts w:ascii="Times New Roman" w:hAnsi="Times New Roman" w:cs="Times New Roman"/>
        </w:rPr>
        <w:t xml:space="preserve"> </w:t>
      </w:r>
      <w:r w:rsidRPr="00BA1F28">
        <w:rPr>
          <w:rFonts w:ascii="Times New Roman" w:hAnsi="Times New Roman" w:cs="Times New Roman"/>
        </w:rPr>
        <w:t xml:space="preserve">Justice Ginsburg’s approach to affirmative action is different than both majority opinions </w:t>
      </w:r>
      <w:r w:rsidR="005659DA" w:rsidRPr="00BA1F28">
        <w:rPr>
          <w:rFonts w:ascii="Times New Roman" w:hAnsi="Times New Roman" w:cs="Times New Roman"/>
        </w:rPr>
        <w:t xml:space="preserve">in </w:t>
      </w:r>
      <w:r w:rsidR="005659DA" w:rsidRPr="00BA1F28">
        <w:rPr>
          <w:rFonts w:ascii="Times New Roman" w:hAnsi="Times New Roman" w:cs="Times New Roman"/>
          <w:u w:val="single"/>
        </w:rPr>
        <w:t>Grutter</w:t>
      </w:r>
      <w:r w:rsidR="005659DA" w:rsidRPr="00BA1F28">
        <w:rPr>
          <w:rFonts w:ascii="Times New Roman" w:hAnsi="Times New Roman" w:cs="Times New Roman"/>
        </w:rPr>
        <w:t xml:space="preserve"> and </w:t>
      </w:r>
      <w:r w:rsidR="005659DA" w:rsidRPr="00BA1F28">
        <w:rPr>
          <w:rFonts w:ascii="Times New Roman" w:hAnsi="Times New Roman" w:cs="Times New Roman"/>
          <w:u w:val="single"/>
        </w:rPr>
        <w:t>Gratz</w:t>
      </w:r>
      <w:r w:rsidR="005659DA" w:rsidRPr="00BA1F28">
        <w:rPr>
          <w:rFonts w:ascii="Times New Roman" w:hAnsi="Times New Roman" w:cs="Times New Roman"/>
        </w:rPr>
        <w:t xml:space="preserve"> </w:t>
      </w:r>
      <w:r w:rsidRPr="00BA1F28">
        <w:rPr>
          <w:rFonts w:ascii="Times New Roman" w:hAnsi="Times New Roman" w:cs="Times New Roman"/>
        </w:rPr>
        <w:t>because she distinguishes between race-based classifications used to maintain racial inequality and those used “for the purpose of achieving equality.”</w:t>
      </w:r>
      <w:r w:rsidRPr="00BA1F28">
        <w:rPr>
          <w:rStyle w:val="FootnoteReference"/>
          <w:rFonts w:ascii="Times New Roman" w:hAnsi="Times New Roman" w:cs="Times New Roman"/>
        </w:rPr>
        <w:footnoteReference w:id="65"/>
      </w:r>
      <w:r w:rsidR="00700103" w:rsidRPr="00BA1F28">
        <w:rPr>
          <w:rFonts w:ascii="Times New Roman" w:hAnsi="Times New Roman" w:cs="Times New Roman"/>
        </w:rPr>
        <w:t xml:space="preserve"> </w:t>
      </w:r>
      <w:r w:rsidR="000356E1">
        <w:rPr>
          <w:rFonts w:ascii="Times New Roman" w:hAnsi="Times New Roman" w:cs="Times New Roman"/>
        </w:rPr>
        <w:t>She argues that r</w:t>
      </w:r>
      <w:r w:rsidR="00700103" w:rsidRPr="00BA1F28">
        <w:rPr>
          <w:rFonts w:ascii="Times New Roman" w:hAnsi="Times New Roman" w:cs="Times New Roman"/>
        </w:rPr>
        <w:t xml:space="preserve">ace is a </w:t>
      </w:r>
      <w:r w:rsidRPr="00BA1F28">
        <w:rPr>
          <w:rFonts w:ascii="Times New Roman" w:hAnsi="Times New Roman" w:cs="Times New Roman"/>
        </w:rPr>
        <w:t xml:space="preserve">‘suspect’ category only </w:t>
      </w:r>
      <w:r w:rsidR="00700103" w:rsidRPr="00BA1F28">
        <w:rPr>
          <w:rFonts w:ascii="Times New Roman" w:hAnsi="Times New Roman" w:cs="Times New Roman"/>
        </w:rPr>
        <w:t>when it is used to maintain or promote inequality</w:t>
      </w:r>
      <w:r w:rsidRPr="00BA1F28">
        <w:rPr>
          <w:rFonts w:ascii="Times New Roman" w:hAnsi="Times New Roman" w:cs="Times New Roman"/>
        </w:rPr>
        <w:t>. According to this distinction, the LSA’s admissions policy</w:t>
      </w:r>
      <w:r w:rsidR="005659DA" w:rsidRPr="00BA1F28">
        <w:rPr>
          <w:rFonts w:ascii="Times New Roman" w:hAnsi="Times New Roman" w:cs="Times New Roman"/>
        </w:rPr>
        <w:t xml:space="preserve"> in </w:t>
      </w:r>
      <w:r w:rsidR="005659DA" w:rsidRPr="00BA1F28">
        <w:rPr>
          <w:rFonts w:ascii="Times New Roman" w:hAnsi="Times New Roman" w:cs="Times New Roman"/>
          <w:u w:val="single"/>
        </w:rPr>
        <w:t>Gratz</w:t>
      </w:r>
      <w:r w:rsidRPr="00BA1F28">
        <w:rPr>
          <w:rFonts w:ascii="Times New Roman" w:hAnsi="Times New Roman" w:cs="Times New Roman"/>
        </w:rPr>
        <w:t xml:space="preserve"> would be considered as a measure designed to accelerate </w:t>
      </w:r>
      <w:r w:rsidRPr="00BA1F28">
        <w:rPr>
          <w:rFonts w:ascii="Times New Roman" w:hAnsi="Times New Roman" w:cs="Times New Roman"/>
          <w:i/>
        </w:rPr>
        <w:t>de facto</w:t>
      </w:r>
      <w:r w:rsidRPr="00BA1F28">
        <w:rPr>
          <w:rFonts w:ascii="Times New Roman" w:hAnsi="Times New Roman" w:cs="Times New Roman"/>
        </w:rPr>
        <w:t xml:space="preserve"> equality, and thus its use o</w:t>
      </w:r>
      <w:r w:rsidR="00700103" w:rsidRPr="00BA1F28">
        <w:rPr>
          <w:rFonts w:ascii="Times New Roman" w:hAnsi="Times New Roman" w:cs="Times New Roman"/>
        </w:rPr>
        <w:t>f race does not use a ‘suspect’ category for which an “automatic proscription is in order.”</w:t>
      </w:r>
      <w:r w:rsidR="00700103" w:rsidRPr="00BA1F28">
        <w:rPr>
          <w:rStyle w:val="FootnoteReference"/>
          <w:rFonts w:ascii="Times New Roman" w:hAnsi="Times New Roman" w:cs="Times New Roman"/>
        </w:rPr>
        <w:footnoteReference w:id="66"/>
      </w:r>
      <w:r w:rsidR="00700103" w:rsidRPr="00BA1F28">
        <w:rPr>
          <w:rFonts w:ascii="Times New Roman" w:hAnsi="Times New Roman" w:cs="Times New Roman"/>
        </w:rPr>
        <w:t xml:space="preserve"> Justice Ginsberg would thus not apply strict scrutiny to race-based classifications whose purpose is</w:t>
      </w:r>
      <w:r w:rsidR="0060651E" w:rsidRPr="00BA1F28">
        <w:rPr>
          <w:rFonts w:ascii="Times New Roman" w:hAnsi="Times New Roman" w:cs="Times New Roman"/>
        </w:rPr>
        <w:t xml:space="preserve"> to achieve equality. I</w:t>
      </w:r>
      <w:r w:rsidR="00700103" w:rsidRPr="00BA1F28">
        <w:rPr>
          <w:rFonts w:ascii="Times New Roman" w:hAnsi="Times New Roman" w:cs="Times New Roman"/>
        </w:rPr>
        <w:t>t is unclear whether she would apply rational</w:t>
      </w:r>
      <w:r w:rsidR="007173F4" w:rsidRPr="00BA1F28">
        <w:rPr>
          <w:rFonts w:ascii="Times New Roman" w:hAnsi="Times New Roman" w:cs="Times New Roman"/>
        </w:rPr>
        <w:t xml:space="preserve"> basis or intermediate scrutiny</w:t>
      </w:r>
      <w:r w:rsidR="00700103" w:rsidRPr="00BA1F28">
        <w:rPr>
          <w:rFonts w:ascii="Times New Roman" w:hAnsi="Times New Roman" w:cs="Times New Roman"/>
        </w:rPr>
        <w:t>.</w:t>
      </w:r>
      <w:r w:rsidR="00700103" w:rsidRPr="00BA1F28">
        <w:rPr>
          <w:rStyle w:val="FootnoteReference"/>
          <w:rFonts w:ascii="Times New Roman" w:hAnsi="Times New Roman" w:cs="Times New Roman"/>
        </w:rPr>
        <w:footnoteReference w:id="67"/>
      </w:r>
      <w:r w:rsidR="00700103" w:rsidRPr="00BA1F28">
        <w:rPr>
          <w:rFonts w:ascii="Times New Roman" w:hAnsi="Times New Roman" w:cs="Times New Roman"/>
        </w:rPr>
        <w:t xml:space="preserve">  </w:t>
      </w:r>
    </w:p>
    <w:p w14:paraId="16CA95AF" w14:textId="0695B278" w:rsidR="0025046C" w:rsidRPr="00BA1F28" w:rsidRDefault="0060651E" w:rsidP="009C23CA">
      <w:pPr>
        <w:widowControl w:val="0"/>
        <w:autoSpaceDE w:val="0"/>
        <w:autoSpaceDN w:val="0"/>
        <w:adjustRightInd w:val="0"/>
        <w:spacing w:line="480" w:lineRule="auto"/>
        <w:jc w:val="both"/>
        <w:rPr>
          <w:rFonts w:ascii="Times New Roman" w:hAnsi="Times New Roman" w:cs="Times New Roman"/>
        </w:rPr>
      </w:pPr>
      <w:r w:rsidRPr="00BA1F28">
        <w:rPr>
          <w:rFonts w:ascii="Times New Roman" w:hAnsi="Times New Roman" w:cs="Times New Roman"/>
        </w:rPr>
        <w:tab/>
        <w:t xml:space="preserve">For comparative law purposes, Ginsburg’s dissent in </w:t>
      </w:r>
      <w:r w:rsidRPr="00BA1F28">
        <w:rPr>
          <w:rFonts w:ascii="Times New Roman" w:hAnsi="Times New Roman" w:cs="Times New Roman"/>
          <w:u w:val="single"/>
        </w:rPr>
        <w:t>Gratz</w:t>
      </w:r>
      <w:r w:rsidRPr="00BA1F28">
        <w:rPr>
          <w:rFonts w:ascii="Times New Roman" w:hAnsi="Times New Roman" w:cs="Times New Roman"/>
        </w:rPr>
        <w:t xml:space="preserve"> is important because she bolsters her argument for a weaker </w:t>
      </w:r>
      <w:r w:rsidR="00F6106E" w:rsidRPr="00BA1F28">
        <w:rPr>
          <w:rFonts w:ascii="Times New Roman" w:hAnsi="Times New Roman" w:cs="Times New Roman"/>
        </w:rPr>
        <w:t>standard of review for equality-promoting affirmative action measures</w:t>
      </w:r>
      <w:r w:rsidRPr="00BA1F28">
        <w:rPr>
          <w:rFonts w:ascii="Times New Roman" w:hAnsi="Times New Roman" w:cs="Times New Roman"/>
        </w:rPr>
        <w:t xml:space="preserve"> by referencing </w:t>
      </w:r>
      <w:r w:rsidR="005659DA" w:rsidRPr="00BA1F28">
        <w:rPr>
          <w:rFonts w:ascii="Times New Roman" w:hAnsi="Times New Roman" w:cs="Times New Roman"/>
        </w:rPr>
        <w:t>ICERD and CEDAW</w:t>
      </w:r>
      <w:r w:rsidRPr="00BA1F28">
        <w:rPr>
          <w:rFonts w:ascii="Times New Roman" w:hAnsi="Times New Roman" w:cs="Times New Roman"/>
        </w:rPr>
        <w:t>.</w:t>
      </w:r>
      <w:r w:rsidRPr="00BA1F28">
        <w:rPr>
          <w:rStyle w:val="FootnoteReference"/>
          <w:rFonts w:ascii="Times New Roman" w:hAnsi="Times New Roman" w:cs="Times New Roman"/>
        </w:rPr>
        <w:footnoteReference w:id="68"/>
      </w:r>
      <w:r w:rsidRPr="00BA1F28">
        <w:rPr>
          <w:rFonts w:ascii="Times New Roman" w:hAnsi="Times New Roman" w:cs="Times New Roman"/>
        </w:rPr>
        <w:t xml:space="preserve"> She argues that “[c]</w:t>
      </w:r>
      <w:proofErr w:type="spellStart"/>
      <w:r w:rsidRPr="00BA1F28">
        <w:rPr>
          <w:rFonts w:ascii="Times New Roman" w:hAnsi="Times New Roman" w:cs="Times New Roman"/>
        </w:rPr>
        <w:t>ontemporary</w:t>
      </w:r>
      <w:proofErr w:type="spellEnd"/>
      <w:r w:rsidRPr="00BA1F28">
        <w:rPr>
          <w:rFonts w:ascii="Times New Roman" w:hAnsi="Times New Roman" w:cs="Times New Roman"/>
        </w:rPr>
        <w:t xml:space="preserve"> human rights documents draw just this line; they distinguish between policies of oppression and measures </w:t>
      </w:r>
      <w:r w:rsidRPr="00BA1F28">
        <w:rPr>
          <w:rFonts w:ascii="Times New Roman" w:hAnsi="Times New Roman" w:cs="Times New Roman"/>
        </w:rPr>
        <w:lastRenderedPageBreak/>
        <w:t xml:space="preserve">designed to accelerate </w:t>
      </w:r>
      <w:r w:rsidRPr="00BA1F28">
        <w:rPr>
          <w:rFonts w:ascii="Times New Roman" w:hAnsi="Times New Roman" w:cs="Times New Roman"/>
          <w:i/>
        </w:rPr>
        <w:t>de facto</w:t>
      </w:r>
      <w:r w:rsidRPr="00BA1F28">
        <w:rPr>
          <w:rFonts w:ascii="Times New Roman" w:hAnsi="Times New Roman" w:cs="Times New Roman"/>
        </w:rPr>
        <w:t xml:space="preserve"> equality.”</w:t>
      </w:r>
      <w:r w:rsidR="00592BBD" w:rsidRPr="00BA1F28">
        <w:rPr>
          <w:rFonts w:ascii="Times New Roman" w:hAnsi="Times New Roman" w:cs="Times New Roman"/>
        </w:rPr>
        <w:t xml:space="preserve"> Ginsburg also referred to ICERD and CEDAW in her concurring opinion in </w:t>
      </w:r>
      <w:r w:rsidR="00592BBD" w:rsidRPr="00BA1F28">
        <w:rPr>
          <w:rFonts w:ascii="Times New Roman" w:hAnsi="Times New Roman" w:cs="Times New Roman"/>
          <w:u w:val="single"/>
        </w:rPr>
        <w:t>Grutter</w:t>
      </w:r>
      <w:r w:rsidR="00592BBD" w:rsidRPr="00BA1F28">
        <w:rPr>
          <w:rFonts w:ascii="Times New Roman" w:hAnsi="Times New Roman" w:cs="Times New Roman"/>
        </w:rPr>
        <w:t>, showing that the Court’s contention that race-conscious programs “must have a logical end point” is consistent with the understanding of affirmati</w:t>
      </w:r>
      <w:r w:rsidR="000356E1">
        <w:rPr>
          <w:rFonts w:ascii="Times New Roman" w:hAnsi="Times New Roman" w:cs="Times New Roman"/>
        </w:rPr>
        <w:t>ve action in</w:t>
      </w:r>
      <w:r w:rsidR="00592BBD" w:rsidRPr="00BA1F28">
        <w:rPr>
          <w:rFonts w:ascii="Times New Roman" w:hAnsi="Times New Roman" w:cs="Times New Roman"/>
        </w:rPr>
        <w:t xml:space="preserve"> </w:t>
      </w:r>
      <w:r w:rsidR="000356E1">
        <w:rPr>
          <w:rFonts w:ascii="Times New Roman" w:hAnsi="Times New Roman" w:cs="Times New Roman"/>
        </w:rPr>
        <w:t>IHRL</w:t>
      </w:r>
      <w:r w:rsidR="00592BBD" w:rsidRPr="00BA1F28">
        <w:rPr>
          <w:rFonts w:ascii="Times New Roman" w:hAnsi="Times New Roman" w:cs="Times New Roman"/>
        </w:rPr>
        <w:t xml:space="preserve">. </w:t>
      </w:r>
      <w:r w:rsidR="00592BBD" w:rsidRPr="00BA1F28">
        <w:rPr>
          <w:rStyle w:val="FootnoteReference"/>
          <w:rFonts w:ascii="Times New Roman" w:hAnsi="Times New Roman" w:cs="Times New Roman"/>
        </w:rPr>
        <w:footnoteReference w:id="69"/>
      </w:r>
      <w:r w:rsidR="00592BBD" w:rsidRPr="00BA1F28">
        <w:rPr>
          <w:rFonts w:ascii="Times New Roman" w:hAnsi="Times New Roman" w:cs="Times New Roman"/>
        </w:rPr>
        <w:t xml:space="preserve"> </w:t>
      </w:r>
    </w:p>
    <w:p w14:paraId="152CA801" w14:textId="5175B994" w:rsidR="00203B8B" w:rsidRPr="00BA1F28" w:rsidRDefault="00203B8B" w:rsidP="009C23CA">
      <w:pPr>
        <w:widowControl w:val="0"/>
        <w:autoSpaceDE w:val="0"/>
        <w:autoSpaceDN w:val="0"/>
        <w:adjustRightInd w:val="0"/>
        <w:spacing w:line="480" w:lineRule="auto"/>
        <w:ind w:firstLine="720"/>
        <w:jc w:val="both"/>
        <w:rPr>
          <w:rFonts w:ascii="Times New Roman" w:hAnsi="Times New Roman" w:cs="Times New Roman"/>
          <w:color w:val="000000"/>
        </w:rPr>
      </w:pPr>
      <w:r w:rsidRPr="00BA1F28">
        <w:rPr>
          <w:rFonts w:ascii="Times New Roman" w:hAnsi="Times New Roman" w:cs="Times New Roman"/>
        </w:rPr>
        <w:t xml:space="preserve">It is clear that Justice Ginsburg’s understanding of affirmative action has been informed by </w:t>
      </w:r>
      <w:r w:rsidR="00EB7E80">
        <w:rPr>
          <w:rFonts w:ascii="Times New Roman" w:hAnsi="Times New Roman" w:cs="Times New Roman"/>
        </w:rPr>
        <w:t>IHRL</w:t>
      </w:r>
      <w:r w:rsidR="00F6106E" w:rsidRPr="00BA1F28">
        <w:rPr>
          <w:rFonts w:ascii="Times New Roman" w:hAnsi="Times New Roman" w:cs="Times New Roman"/>
        </w:rPr>
        <w:t xml:space="preserve"> for quite some time.</w:t>
      </w:r>
      <w:r w:rsidRPr="00BA1F28">
        <w:rPr>
          <w:rFonts w:ascii="Times New Roman" w:hAnsi="Times New Roman" w:cs="Times New Roman"/>
        </w:rPr>
        <w:t xml:space="preserve"> In a speech in 1999 she “</w:t>
      </w:r>
      <w:r w:rsidRPr="00BA1F28">
        <w:rPr>
          <w:rFonts w:ascii="Times New Roman" w:hAnsi="Times New Roman" w:cs="Times New Roman"/>
          <w:color w:val="000000"/>
        </w:rPr>
        <w:t xml:space="preserve">noted that affirmative action, both in the United States and abroad, is anchored in the </w:t>
      </w:r>
      <w:r w:rsidR="005659DA" w:rsidRPr="00BA1F28">
        <w:rPr>
          <w:rFonts w:ascii="Times New Roman" w:hAnsi="Times New Roman" w:cs="Times New Roman"/>
          <w:color w:val="000000"/>
        </w:rPr>
        <w:t>[UDHR]</w:t>
      </w:r>
      <w:r w:rsidRPr="00BA1F28">
        <w:rPr>
          <w:rFonts w:ascii="Times New Roman" w:hAnsi="Times New Roman" w:cs="Times New Roman"/>
          <w:color w:val="000000"/>
        </w:rPr>
        <w:t>—and appropriately so, given that both affirmative action and the Declaration itself stand at the intersection of the civil/political and economic/social rights regimes</w:t>
      </w:r>
      <w:r w:rsidR="0025046C" w:rsidRPr="00BA1F28">
        <w:rPr>
          <w:rFonts w:ascii="Times New Roman" w:hAnsi="Times New Roman" w:cs="Times New Roman"/>
          <w:color w:val="000000"/>
        </w:rPr>
        <w:t>.”</w:t>
      </w:r>
      <w:r w:rsidR="0025046C" w:rsidRPr="00BA1F28">
        <w:rPr>
          <w:rStyle w:val="FootnoteReference"/>
          <w:rFonts w:ascii="Times New Roman" w:hAnsi="Times New Roman" w:cs="Times New Roman"/>
          <w:color w:val="000000"/>
        </w:rPr>
        <w:footnoteReference w:id="70"/>
      </w:r>
      <w:r w:rsidR="0025046C" w:rsidRPr="00BA1F28">
        <w:rPr>
          <w:rFonts w:ascii="Times New Roman" w:hAnsi="Times New Roman" w:cs="Times New Roman"/>
          <w:color w:val="000000"/>
        </w:rPr>
        <w:t xml:space="preserve"> In her own words, the Justice stated that the UDHR, ICERD, and CEDAW “indicate that affirmative action is not necessarily at odds with human rights principles, but may draw force from them, in particular, form the prescriptions on equality coupled with provisions on economic and social well-being.”</w:t>
      </w:r>
      <w:r w:rsidR="0025046C" w:rsidRPr="00BA1F28">
        <w:rPr>
          <w:rStyle w:val="FootnoteReference"/>
          <w:rFonts w:ascii="Times New Roman" w:hAnsi="Times New Roman" w:cs="Times New Roman"/>
          <w:color w:val="000000"/>
        </w:rPr>
        <w:footnoteReference w:id="71"/>
      </w:r>
      <w:r w:rsidR="00860B14" w:rsidRPr="00BA1F28">
        <w:rPr>
          <w:rFonts w:ascii="Times New Roman" w:hAnsi="Times New Roman" w:cs="Times New Roman"/>
          <w:color w:val="000000"/>
        </w:rPr>
        <w:t xml:space="preserve"> </w:t>
      </w:r>
      <w:r w:rsidR="006B1DF4" w:rsidRPr="00BA1F28">
        <w:rPr>
          <w:rFonts w:ascii="Times New Roman" w:hAnsi="Times New Roman" w:cs="Times New Roman"/>
          <w:color w:val="000000"/>
        </w:rPr>
        <w:t xml:space="preserve">Such an understanding, especially her view that a race-based classification does not automatically trigger strict scrutiny, is firmly at odds with the majorities in </w:t>
      </w:r>
      <w:r w:rsidR="006B1DF4" w:rsidRPr="00BA1F28">
        <w:rPr>
          <w:rFonts w:ascii="Times New Roman" w:hAnsi="Times New Roman" w:cs="Times New Roman"/>
          <w:color w:val="000000"/>
          <w:u w:val="single"/>
        </w:rPr>
        <w:t>Grutter</w:t>
      </w:r>
      <w:r w:rsidR="006B1DF4" w:rsidRPr="00BA1F28">
        <w:rPr>
          <w:rFonts w:ascii="Times New Roman" w:hAnsi="Times New Roman" w:cs="Times New Roman"/>
          <w:color w:val="000000"/>
        </w:rPr>
        <w:t xml:space="preserve"> and </w:t>
      </w:r>
      <w:r w:rsidR="006B1DF4" w:rsidRPr="00BA1F28">
        <w:rPr>
          <w:rFonts w:ascii="Times New Roman" w:hAnsi="Times New Roman" w:cs="Times New Roman"/>
          <w:color w:val="000000"/>
          <w:u w:val="single"/>
        </w:rPr>
        <w:t>Gatz</w:t>
      </w:r>
      <w:r w:rsidR="006B1DF4" w:rsidRPr="00BA1F28">
        <w:rPr>
          <w:rFonts w:ascii="Times New Roman" w:hAnsi="Times New Roman" w:cs="Times New Roman"/>
          <w:color w:val="000000"/>
        </w:rPr>
        <w:t xml:space="preserve">, and US affirmative action jurisprudence in general. </w:t>
      </w:r>
    </w:p>
    <w:p w14:paraId="3EFFEFA9" w14:textId="2A08FA83" w:rsidR="0026045A" w:rsidRPr="00BA1F28" w:rsidRDefault="009A59BA" w:rsidP="009C23CA">
      <w:pPr>
        <w:spacing w:line="480" w:lineRule="auto"/>
        <w:jc w:val="both"/>
        <w:rPr>
          <w:rFonts w:ascii="Times New Roman" w:hAnsi="Times New Roman" w:cs="Times New Roman"/>
          <w:color w:val="000000"/>
        </w:rPr>
      </w:pPr>
      <w:r w:rsidRPr="00BA1F28">
        <w:rPr>
          <w:rFonts w:ascii="Times New Roman" w:hAnsi="Times New Roman" w:cs="Times New Roman"/>
          <w:color w:val="000000"/>
        </w:rPr>
        <w:tab/>
        <w:t xml:space="preserve">From the opinions in </w:t>
      </w:r>
      <w:r w:rsidRPr="00BA1F28">
        <w:rPr>
          <w:rFonts w:ascii="Times New Roman" w:hAnsi="Times New Roman" w:cs="Times New Roman"/>
          <w:color w:val="000000"/>
          <w:u w:val="single"/>
        </w:rPr>
        <w:t>Grutter</w:t>
      </w:r>
      <w:r w:rsidRPr="00BA1F28">
        <w:rPr>
          <w:rFonts w:ascii="Times New Roman" w:hAnsi="Times New Roman" w:cs="Times New Roman"/>
          <w:color w:val="000000"/>
        </w:rPr>
        <w:t xml:space="preserve"> and </w:t>
      </w:r>
      <w:r w:rsidRPr="00BA1F28">
        <w:rPr>
          <w:rFonts w:ascii="Times New Roman" w:hAnsi="Times New Roman" w:cs="Times New Roman"/>
          <w:color w:val="000000"/>
          <w:u w:val="single"/>
        </w:rPr>
        <w:t>Gratz</w:t>
      </w:r>
      <w:r w:rsidRPr="00BA1F28">
        <w:rPr>
          <w:rFonts w:ascii="Times New Roman" w:hAnsi="Times New Roman" w:cs="Times New Roman"/>
          <w:color w:val="000000"/>
        </w:rPr>
        <w:t xml:space="preserve"> it becomes clear that the United </w:t>
      </w:r>
      <w:r w:rsidR="00EB7E80" w:rsidRPr="00BA1F28">
        <w:rPr>
          <w:rFonts w:ascii="Times New Roman" w:hAnsi="Times New Roman" w:cs="Times New Roman"/>
          <w:color w:val="000000"/>
        </w:rPr>
        <w:t>States’</w:t>
      </w:r>
      <w:r w:rsidRPr="00BA1F28">
        <w:rPr>
          <w:rFonts w:ascii="Times New Roman" w:hAnsi="Times New Roman" w:cs="Times New Roman"/>
          <w:color w:val="000000"/>
        </w:rPr>
        <w:t xml:space="preserve"> use of strict scrutiny to review affirmative action policies is inconsistent with international human rights law. IHRL endorses a distinction between oppressive and remedial affirmative action measures that the United States does not recognize. The US position is consistent with its failure to </w:t>
      </w:r>
      <w:r w:rsidR="00EB7E80">
        <w:rPr>
          <w:rFonts w:ascii="Times New Roman" w:hAnsi="Times New Roman" w:cs="Times New Roman"/>
          <w:color w:val="000000"/>
        </w:rPr>
        <w:t>endorse positive rights and the corresponding obligations of States</w:t>
      </w:r>
      <w:r w:rsidR="00F6106E" w:rsidRPr="00BA1F28">
        <w:rPr>
          <w:rFonts w:ascii="Times New Roman" w:hAnsi="Times New Roman" w:cs="Times New Roman"/>
          <w:color w:val="000000"/>
        </w:rPr>
        <w:t>, including the state-centered</w:t>
      </w:r>
      <w:r w:rsidRPr="00BA1F28">
        <w:rPr>
          <w:rFonts w:ascii="Times New Roman" w:hAnsi="Times New Roman" w:cs="Times New Roman"/>
          <w:color w:val="000000"/>
        </w:rPr>
        <w:t xml:space="preserve"> duty to fulfill. As Justice Ginsburg herself acknowledges, affirmative action is consistent with </w:t>
      </w:r>
      <w:r w:rsidRPr="00BA1F28">
        <w:rPr>
          <w:rFonts w:ascii="Times New Roman" w:hAnsi="Times New Roman" w:cs="Times New Roman"/>
          <w:color w:val="000000"/>
        </w:rPr>
        <w:lastRenderedPageBreak/>
        <w:t>human rights principles when interpreted with</w:t>
      </w:r>
      <w:r w:rsidR="009102A1" w:rsidRPr="00BA1F28">
        <w:rPr>
          <w:rFonts w:ascii="Times New Roman" w:hAnsi="Times New Roman" w:cs="Times New Roman"/>
          <w:color w:val="000000"/>
        </w:rPr>
        <w:t xml:space="preserve"> IHRL “prescriptions on equality </w:t>
      </w:r>
      <w:r w:rsidR="009102A1" w:rsidRPr="00BA1F28">
        <w:rPr>
          <w:rFonts w:ascii="Times New Roman" w:hAnsi="Times New Roman" w:cs="Times New Roman"/>
          <w:i/>
          <w:color w:val="000000"/>
        </w:rPr>
        <w:t xml:space="preserve">coupled with </w:t>
      </w:r>
      <w:r w:rsidRPr="00BA1F28">
        <w:rPr>
          <w:rFonts w:ascii="Times New Roman" w:hAnsi="Times New Roman" w:cs="Times New Roman"/>
          <w:i/>
          <w:color w:val="000000"/>
        </w:rPr>
        <w:t>provision on economic and social well-being</w:t>
      </w:r>
      <w:r w:rsidRPr="00BA1F28">
        <w:rPr>
          <w:rFonts w:ascii="Times New Roman" w:hAnsi="Times New Roman" w:cs="Times New Roman"/>
          <w:color w:val="000000"/>
        </w:rPr>
        <w:t xml:space="preserve">,” i.e. the very provisions embodied in the ICESCR that the US has refused to accept. In other words, </w:t>
      </w:r>
      <w:r w:rsidR="00976D11" w:rsidRPr="00BA1F28">
        <w:rPr>
          <w:rFonts w:ascii="Times New Roman" w:hAnsi="Times New Roman" w:cs="Times New Roman"/>
          <w:color w:val="000000"/>
        </w:rPr>
        <w:t xml:space="preserve">equality and </w:t>
      </w:r>
      <w:r w:rsidRPr="00BA1F28">
        <w:rPr>
          <w:rFonts w:ascii="Times New Roman" w:hAnsi="Times New Roman" w:cs="Times New Roman"/>
          <w:color w:val="000000"/>
        </w:rPr>
        <w:t>esc rights and corresponding o</w:t>
      </w:r>
      <w:r w:rsidR="00F6106E" w:rsidRPr="00BA1F28">
        <w:rPr>
          <w:rFonts w:ascii="Times New Roman" w:hAnsi="Times New Roman" w:cs="Times New Roman"/>
          <w:color w:val="000000"/>
        </w:rPr>
        <w:t>bligations imply a state-centered</w:t>
      </w:r>
      <w:r w:rsidRPr="00BA1F28">
        <w:rPr>
          <w:rFonts w:ascii="Times New Roman" w:hAnsi="Times New Roman" w:cs="Times New Roman"/>
          <w:color w:val="000000"/>
        </w:rPr>
        <w:t xml:space="preserve"> </w:t>
      </w:r>
      <w:r w:rsidR="00976D11" w:rsidRPr="00BA1F28">
        <w:rPr>
          <w:rFonts w:ascii="Times New Roman" w:hAnsi="Times New Roman" w:cs="Times New Roman"/>
          <w:color w:val="000000"/>
        </w:rPr>
        <w:t xml:space="preserve">management of affirmative action measures that is at odds with the </w:t>
      </w:r>
      <w:r w:rsidR="00F6106E" w:rsidRPr="00BA1F28">
        <w:rPr>
          <w:rFonts w:ascii="Times New Roman" w:hAnsi="Times New Roman" w:cs="Times New Roman"/>
          <w:color w:val="000000"/>
        </w:rPr>
        <w:t>market-centered political</w:t>
      </w:r>
      <w:r w:rsidR="00976D11" w:rsidRPr="00BA1F28">
        <w:rPr>
          <w:rFonts w:ascii="Times New Roman" w:hAnsi="Times New Roman" w:cs="Times New Roman"/>
          <w:color w:val="000000"/>
        </w:rPr>
        <w:t xml:space="preserve"> economy of the United States. </w:t>
      </w:r>
    </w:p>
    <w:p w14:paraId="3F6C12BB" w14:textId="4F92704C" w:rsidR="0016670A" w:rsidRPr="00BA1F28" w:rsidRDefault="009102A1" w:rsidP="009C23CA">
      <w:pPr>
        <w:spacing w:line="480" w:lineRule="auto"/>
        <w:jc w:val="both"/>
        <w:rPr>
          <w:rFonts w:ascii="Times New Roman" w:hAnsi="Times New Roman" w:cs="Times New Roman"/>
          <w:color w:val="000000"/>
        </w:rPr>
      </w:pPr>
      <w:r w:rsidRPr="00BA1F28">
        <w:rPr>
          <w:rFonts w:ascii="Times New Roman" w:hAnsi="Times New Roman" w:cs="Times New Roman"/>
          <w:color w:val="000000"/>
        </w:rPr>
        <w:tab/>
      </w:r>
      <w:r w:rsidR="00EF7BEB" w:rsidRPr="00BA1F28">
        <w:rPr>
          <w:rFonts w:ascii="Times New Roman" w:hAnsi="Times New Roman" w:cs="Times New Roman"/>
          <w:color w:val="000000"/>
        </w:rPr>
        <w:t>With</w:t>
      </w:r>
      <w:r w:rsidR="00E01E85" w:rsidRPr="00BA1F28">
        <w:rPr>
          <w:rFonts w:ascii="Times New Roman" w:hAnsi="Times New Roman" w:cs="Times New Roman"/>
          <w:color w:val="000000"/>
        </w:rPr>
        <w:t xml:space="preserve"> respect to reservations, it is clear that quota systems are </w:t>
      </w:r>
      <w:r w:rsidR="00E01E85" w:rsidRPr="00BA1F28">
        <w:rPr>
          <w:rFonts w:ascii="Times New Roman" w:hAnsi="Times New Roman" w:cs="Times New Roman"/>
          <w:i/>
          <w:color w:val="000000"/>
        </w:rPr>
        <w:t>per se</w:t>
      </w:r>
      <w:r w:rsidR="00E01E85" w:rsidRPr="00BA1F28">
        <w:rPr>
          <w:rFonts w:ascii="Times New Roman" w:hAnsi="Times New Roman" w:cs="Times New Roman"/>
          <w:color w:val="000000"/>
        </w:rPr>
        <w:t xml:space="preserve"> impermissible because such systems will never be narrowly tailored to the compelling interest in </w:t>
      </w:r>
      <w:r w:rsidR="00E01E85" w:rsidRPr="00BA1F28">
        <w:rPr>
          <w:rFonts w:ascii="Times New Roman" w:hAnsi="Times New Roman" w:cs="Times New Roman"/>
        </w:rPr>
        <w:t xml:space="preserve">obtaining the education benefits that flow from a diverse student body. Quota systems could only arguably be narrowly tailored to achieving ethnic diversity, but since </w:t>
      </w:r>
      <w:r w:rsidR="00E01E85" w:rsidRPr="00BA1F28">
        <w:rPr>
          <w:rFonts w:ascii="Times New Roman" w:hAnsi="Times New Roman" w:cs="Times New Roman"/>
          <w:u w:val="single"/>
        </w:rPr>
        <w:t>Bakke</w:t>
      </w:r>
      <w:r w:rsidR="007A27A0">
        <w:rPr>
          <w:rFonts w:ascii="Times New Roman" w:hAnsi="Times New Roman" w:cs="Times New Roman"/>
        </w:rPr>
        <w:t>,</w:t>
      </w:r>
      <w:r w:rsidR="00E01E85" w:rsidRPr="00BA1F28">
        <w:rPr>
          <w:rFonts w:ascii="Times New Roman" w:hAnsi="Times New Roman" w:cs="Times New Roman"/>
        </w:rPr>
        <w:t xml:space="preserve"> ethnic diversity for its own sake has been discounted as a compelling state interest.</w:t>
      </w:r>
      <w:r w:rsidR="00E01E85" w:rsidRPr="00BA1F28">
        <w:rPr>
          <w:rStyle w:val="FootnoteReference"/>
          <w:rFonts w:ascii="Times New Roman" w:hAnsi="Times New Roman" w:cs="Times New Roman"/>
        </w:rPr>
        <w:footnoteReference w:id="72"/>
      </w:r>
      <w:r w:rsidR="00E01E85" w:rsidRPr="00BA1F28">
        <w:rPr>
          <w:rFonts w:ascii="Times New Roman" w:hAnsi="Times New Roman" w:cs="Times New Roman"/>
        </w:rPr>
        <w:t xml:space="preserve"> </w:t>
      </w:r>
      <w:proofErr w:type="gramStart"/>
      <w:r w:rsidR="00E01E85" w:rsidRPr="00BA1F28">
        <w:rPr>
          <w:rFonts w:ascii="Times New Roman" w:hAnsi="Times New Roman" w:cs="Times New Roman"/>
        </w:rPr>
        <w:t>It is clear that this</w:t>
      </w:r>
      <w:proofErr w:type="gramEnd"/>
      <w:r w:rsidR="00E01E85" w:rsidRPr="00BA1F28">
        <w:rPr>
          <w:rFonts w:ascii="Times New Roman" w:hAnsi="Times New Roman" w:cs="Times New Roman"/>
        </w:rPr>
        <w:t xml:space="preserve"> refusal to acknowledge that ethnic diversity</w:t>
      </w:r>
      <w:r w:rsidR="00EB27B9" w:rsidRPr="00BA1F28">
        <w:rPr>
          <w:rFonts w:ascii="Times New Roman" w:hAnsi="Times New Roman" w:cs="Times New Roman"/>
          <w:color w:val="000000"/>
        </w:rPr>
        <w:t xml:space="preserve"> is</w:t>
      </w:r>
      <w:r w:rsidR="00E01E85" w:rsidRPr="00BA1F28">
        <w:rPr>
          <w:rFonts w:ascii="Times New Roman" w:hAnsi="Times New Roman" w:cs="Times New Roman"/>
          <w:color w:val="000000"/>
        </w:rPr>
        <w:t xml:space="preserve"> a compelling state interest is also inconsistent </w:t>
      </w:r>
      <w:r w:rsidR="00211E38" w:rsidRPr="00BA1F28">
        <w:rPr>
          <w:rFonts w:ascii="Times New Roman" w:hAnsi="Times New Roman" w:cs="Times New Roman"/>
          <w:color w:val="000000"/>
        </w:rPr>
        <w:t xml:space="preserve">with IHRL, </w:t>
      </w:r>
      <w:r w:rsidR="00211E38" w:rsidRPr="00BA1F28">
        <w:rPr>
          <w:rFonts w:ascii="Times New Roman" w:hAnsi="Times New Roman" w:cs="Times New Roman"/>
          <w:i/>
          <w:color w:val="000000"/>
        </w:rPr>
        <w:t>see</w:t>
      </w:r>
      <w:r w:rsidR="00211E38" w:rsidRPr="00BA1F28">
        <w:rPr>
          <w:rFonts w:ascii="Times New Roman" w:hAnsi="Times New Roman" w:cs="Times New Roman"/>
          <w:color w:val="000000"/>
        </w:rPr>
        <w:t xml:space="preserve"> ICERD.</w:t>
      </w:r>
      <w:r w:rsidR="00211E38" w:rsidRPr="00BA1F28">
        <w:rPr>
          <w:rStyle w:val="FootnoteReference"/>
          <w:rFonts w:ascii="Times New Roman" w:hAnsi="Times New Roman" w:cs="Times New Roman"/>
          <w:color w:val="000000"/>
        </w:rPr>
        <w:footnoteReference w:id="73"/>
      </w:r>
      <w:r w:rsidR="00667F80" w:rsidRPr="00BA1F28">
        <w:rPr>
          <w:rFonts w:ascii="Times New Roman" w:hAnsi="Times New Roman" w:cs="Times New Roman"/>
          <w:color w:val="000000"/>
        </w:rPr>
        <w:t xml:space="preserve"> </w:t>
      </w:r>
    </w:p>
    <w:p w14:paraId="0F6C69A5" w14:textId="125E0251" w:rsidR="0016670A" w:rsidRPr="00BA1F28" w:rsidRDefault="0016670A" w:rsidP="009C23CA">
      <w:pPr>
        <w:pStyle w:val="ListParagraph"/>
        <w:numPr>
          <w:ilvl w:val="0"/>
          <w:numId w:val="9"/>
        </w:numPr>
        <w:spacing w:line="480" w:lineRule="auto"/>
        <w:jc w:val="both"/>
        <w:rPr>
          <w:rFonts w:ascii="Times New Roman" w:hAnsi="Times New Roman" w:cs="Times New Roman"/>
          <w:color w:val="000000"/>
          <w:u w:val="single"/>
        </w:rPr>
      </w:pPr>
      <w:r w:rsidRPr="00BA1F28">
        <w:rPr>
          <w:rFonts w:ascii="Times New Roman" w:hAnsi="Times New Roman" w:cs="Times New Roman"/>
          <w:color w:val="000000"/>
          <w:u w:val="single"/>
        </w:rPr>
        <w:t>Conclusion of Political Economy and Ideology of Rights Analysis</w:t>
      </w:r>
    </w:p>
    <w:p w14:paraId="203834EF" w14:textId="7437401B" w:rsidR="008C5E83" w:rsidRPr="00BA1F28" w:rsidRDefault="00667F80" w:rsidP="009C23CA">
      <w:pPr>
        <w:spacing w:line="480" w:lineRule="auto"/>
        <w:jc w:val="both"/>
        <w:rPr>
          <w:rFonts w:ascii="Times New Roman" w:hAnsi="Times New Roman" w:cs="Times New Roman"/>
          <w:color w:val="000000"/>
        </w:rPr>
      </w:pPr>
      <w:r w:rsidRPr="00BA1F28">
        <w:rPr>
          <w:rFonts w:ascii="Times New Roman" w:hAnsi="Times New Roman" w:cs="Times New Roman"/>
          <w:color w:val="000000"/>
        </w:rPr>
        <w:tab/>
        <w:t>In conclusion, US and Indian jurispruden</w:t>
      </w:r>
      <w:r w:rsidR="008C5E83" w:rsidRPr="00BA1F28">
        <w:rPr>
          <w:rFonts w:ascii="Times New Roman" w:hAnsi="Times New Roman" w:cs="Times New Roman"/>
          <w:color w:val="000000"/>
        </w:rPr>
        <w:t>ce on affirmative action differ</w:t>
      </w:r>
      <w:r w:rsidRPr="00BA1F28">
        <w:rPr>
          <w:rFonts w:ascii="Times New Roman" w:hAnsi="Times New Roman" w:cs="Times New Roman"/>
          <w:color w:val="000000"/>
        </w:rPr>
        <w:t xml:space="preserve"> greatly with respect to the standard of review used and the permissibility of quotas, or reservations.</w:t>
      </w:r>
      <w:r w:rsidR="005945BF" w:rsidRPr="00BA1F28">
        <w:rPr>
          <w:rFonts w:ascii="Times New Roman" w:hAnsi="Times New Roman" w:cs="Times New Roman"/>
          <w:color w:val="000000"/>
        </w:rPr>
        <w:t xml:space="preserve"> In the US (</w:t>
      </w:r>
      <w:proofErr w:type="spellStart"/>
      <w:r w:rsidR="005945BF" w:rsidRPr="00BA1F28">
        <w:rPr>
          <w:rFonts w:ascii="Times New Roman" w:hAnsi="Times New Roman" w:cs="Times New Roman"/>
          <w:color w:val="000000"/>
        </w:rPr>
        <w:t>i</w:t>
      </w:r>
      <w:proofErr w:type="spellEnd"/>
      <w:r w:rsidR="005945BF" w:rsidRPr="00BA1F28">
        <w:rPr>
          <w:rFonts w:ascii="Times New Roman" w:hAnsi="Times New Roman" w:cs="Times New Roman"/>
          <w:color w:val="000000"/>
        </w:rPr>
        <w:t xml:space="preserve">) affirmative action policies are reviewed under a strict scrutiny standard that requires that a policy be narrowly tailored to achieve a </w:t>
      </w:r>
      <w:r w:rsidR="008C5E83" w:rsidRPr="00BA1F28">
        <w:rPr>
          <w:rFonts w:ascii="Times New Roman" w:hAnsi="Times New Roman" w:cs="Times New Roman"/>
          <w:color w:val="000000"/>
        </w:rPr>
        <w:t xml:space="preserve">compelling government interest, and </w:t>
      </w:r>
      <w:r w:rsidR="005945BF" w:rsidRPr="00BA1F28">
        <w:rPr>
          <w:rFonts w:ascii="Times New Roman" w:hAnsi="Times New Roman" w:cs="Times New Roman"/>
          <w:color w:val="000000"/>
        </w:rPr>
        <w:t xml:space="preserve">(ii) quota systems are </w:t>
      </w:r>
      <w:r w:rsidR="005945BF" w:rsidRPr="00BA1F28">
        <w:rPr>
          <w:rFonts w:ascii="Times New Roman" w:hAnsi="Times New Roman" w:cs="Times New Roman"/>
          <w:i/>
          <w:color w:val="000000"/>
        </w:rPr>
        <w:t>per se</w:t>
      </w:r>
      <w:r w:rsidR="005945BF" w:rsidRPr="00BA1F28">
        <w:rPr>
          <w:rFonts w:ascii="Times New Roman" w:hAnsi="Times New Roman" w:cs="Times New Roman"/>
          <w:color w:val="000000"/>
        </w:rPr>
        <w:t xml:space="preserve"> impermissible. In India: (</w:t>
      </w:r>
      <w:proofErr w:type="spellStart"/>
      <w:r w:rsidR="005945BF" w:rsidRPr="00BA1F28">
        <w:rPr>
          <w:rFonts w:ascii="Times New Roman" w:hAnsi="Times New Roman" w:cs="Times New Roman"/>
          <w:color w:val="000000"/>
        </w:rPr>
        <w:t>i</w:t>
      </w:r>
      <w:proofErr w:type="spellEnd"/>
      <w:r w:rsidR="005945BF" w:rsidRPr="00BA1F28">
        <w:rPr>
          <w:rFonts w:ascii="Times New Roman" w:hAnsi="Times New Roman" w:cs="Times New Roman"/>
          <w:color w:val="000000"/>
        </w:rPr>
        <w:t xml:space="preserve">) affirmative action policies are presumed valid and the </w:t>
      </w:r>
      <w:r w:rsidR="005945BF" w:rsidRPr="00BA1F28">
        <w:rPr>
          <w:rFonts w:ascii="Times New Roman" w:hAnsi="Times New Roman" w:cs="Times New Roman"/>
          <w:color w:val="000000"/>
        </w:rPr>
        <w:lastRenderedPageBreak/>
        <w:t>Indian Constitution gives a positive mandate to the govern</w:t>
      </w:r>
      <w:r w:rsidR="008C5E83" w:rsidRPr="00BA1F28">
        <w:rPr>
          <w:rFonts w:ascii="Times New Roman" w:hAnsi="Times New Roman" w:cs="Times New Roman"/>
          <w:color w:val="000000"/>
        </w:rPr>
        <w:t>ment to engage in such policies, and</w:t>
      </w:r>
      <w:r w:rsidR="005945BF" w:rsidRPr="00BA1F28">
        <w:rPr>
          <w:rFonts w:ascii="Times New Roman" w:hAnsi="Times New Roman" w:cs="Times New Roman"/>
          <w:color w:val="000000"/>
        </w:rPr>
        <w:t xml:space="preserve"> (ii) reservations are permissible as a tool to ‘preserve and promote the essence of equality.’</w:t>
      </w:r>
    </w:p>
    <w:p w14:paraId="0429C322" w14:textId="73C02FEC" w:rsidR="00FE79F7" w:rsidRPr="00BA1F28" w:rsidRDefault="005945BF" w:rsidP="00D4791C">
      <w:pPr>
        <w:spacing w:line="480" w:lineRule="auto"/>
        <w:ind w:firstLine="720"/>
        <w:jc w:val="both"/>
        <w:rPr>
          <w:rFonts w:ascii="Times New Roman" w:hAnsi="Times New Roman" w:cs="Times New Roman"/>
          <w:color w:val="000000"/>
        </w:rPr>
      </w:pPr>
      <w:r w:rsidRPr="00BA1F28">
        <w:rPr>
          <w:rFonts w:ascii="Times New Roman" w:hAnsi="Times New Roman" w:cs="Times New Roman"/>
          <w:color w:val="000000"/>
        </w:rPr>
        <w:t>The differences can best be explained by the fact tha</w:t>
      </w:r>
      <w:r w:rsidR="0016670A" w:rsidRPr="00BA1F28">
        <w:rPr>
          <w:rFonts w:ascii="Times New Roman" w:hAnsi="Times New Roman" w:cs="Times New Roman"/>
          <w:color w:val="000000"/>
        </w:rPr>
        <w:t>t India has a more state-centered</w:t>
      </w:r>
      <w:r w:rsidRPr="00BA1F28">
        <w:rPr>
          <w:rFonts w:ascii="Times New Roman" w:hAnsi="Times New Roman" w:cs="Times New Roman"/>
          <w:color w:val="000000"/>
        </w:rPr>
        <w:t xml:space="preserve"> political economy,</w:t>
      </w:r>
      <w:r w:rsidR="0016670A" w:rsidRPr="00BA1F28">
        <w:rPr>
          <w:rFonts w:ascii="Times New Roman" w:hAnsi="Times New Roman" w:cs="Times New Roman"/>
          <w:color w:val="000000"/>
        </w:rPr>
        <w:t xml:space="preserve"> and the United State has a more market-centered political economy. Furthermore, India’s affirmative action jurisprudence is more consistent with international human rights law. This consistency also implies that India has a more state-centered political economy than does the United States. This is because </w:t>
      </w:r>
      <w:r w:rsidRPr="00BA1F28">
        <w:rPr>
          <w:rFonts w:ascii="Times New Roman" w:hAnsi="Times New Roman" w:cs="Times New Roman"/>
          <w:color w:val="000000"/>
        </w:rPr>
        <w:t>the human rights regime requires that states follow a state-centric political economic model that obliges states to fulfill ‘positive’ economic, cultural and social rights by enacting legislative or other appropriate</w:t>
      </w:r>
      <w:r w:rsidR="008C5E83" w:rsidRPr="00BA1F28">
        <w:rPr>
          <w:rFonts w:ascii="Times New Roman" w:hAnsi="Times New Roman" w:cs="Times New Roman"/>
          <w:color w:val="000000"/>
        </w:rPr>
        <w:t xml:space="preserve"> measures.</w:t>
      </w:r>
      <w:r w:rsidRPr="00BA1F28">
        <w:rPr>
          <w:rFonts w:ascii="Times New Roman" w:hAnsi="Times New Roman" w:cs="Times New Roman"/>
          <w:color w:val="000000"/>
        </w:rPr>
        <w:t xml:space="preserve"> This is fundamentally at odds with the US refusal to acknowledge ‘positive’ rights </w:t>
      </w:r>
      <w:r w:rsidR="008C5E83" w:rsidRPr="00BA1F28">
        <w:rPr>
          <w:rFonts w:ascii="Times New Roman" w:hAnsi="Times New Roman" w:cs="Times New Roman"/>
          <w:color w:val="000000"/>
        </w:rPr>
        <w:t xml:space="preserve">and its market-based political economy where the government is not supposed to take concrete measures to </w:t>
      </w:r>
      <w:r w:rsidR="0016670A" w:rsidRPr="00BA1F28">
        <w:rPr>
          <w:rFonts w:ascii="Times New Roman" w:hAnsi="Times New Roman" w:cs="Times New Roman"/>
          <w:color w:val="000000"/>
        </w:rPr>
        <w:t>combat</w:t>
      </w:r>
      <w:r w:rsidR="008C5E83" w:rsidRPr="00BA1F28">
        <w:rPr>
          <w:rFonts w:ascii="Times New Roman" w:hAnsi="Times New Roman" w:cs="Times New Roman"/>
          <w:color w:val="000000"/>
        </w:rPr>
        <w:t xml:space="preserve"> a </w:t>
      </w:r>
      <w:r w:rsidR="008C5E83" w:rsidRPr="00BA1F28">
        <w:rPr>
          <w:rFonts w:ascii="Times New Roman" w:hAnsi="Times New Roman" w:cs="Times New Roman"/>
          <w:i/>
          <w:color w:val="000000"/>
        </w:rPr>
        <w:t>de facto</w:t>
      </w:r>
      <w:r w:rsidR="008C5E83" w:rsidRPr="00BA1F28">
        <w:rPr>
          <w:rFonts w:ascii="Times New Roman" w:hAnsi="Times New Roman" w:cs="Times New Roman"/>
          <w:color w:val="000000"/>
        </w:rPr>
        <w:t xml:space="preserve"> distribution of inequalities. </w:t>
      </w:r>
    </w:p>
    <w:p w14:paraId="03AEEC8D" w14:textId="662B81FF" w:rsidR="001E65AC" w:rsidRPr="00BA1F28" w:rsidRDefault="00FA7C2D" w:rsidP="009C23CA">
      <w:pPr>
        <w:pStyle w:val="ListParagraph"/>
        <w:numPr>
          <w:ilvl w:val="0"/>
          <w:numId w:val="3"/>
        </w:numPr>
        <w:spacing w:line="480" w:lineRule="auto"/>
        <w:jc w:val="both"/>
        <w:rPr>
          <w:rFonts w:ascii="Times New Roman" w:hAnsi="Times New Roman" w:cs="Times New Roman"/>
          <w:color w:val="000000"/>
          <w:u w:val="single"/>
        </w:rPr>
      </w:pPr>
      <w:r>
        <w:rPr>
          <w:rFonts w:ascii="Times New Roman" w:hAnsi="Times New Roman" w:cs="Times New Roman"/>
          <w:color w:val="000000"/>
          <w:u w:val="single"/>
        </w:rPr>
        <w:t xml:space="preserve">Post-Analysis: </w:t>
      </w:r>
      <w:r w:rsidR="00FE79F7">
        <w:rPr>
          <w:rFonts w:ascii="Times New Roman" w:hAnsi="Times New Roman" w:cs="Times New Roman"/>
          <w:color w:val="000000"/>
          <w:u w:val="single"/>
        </w:rPr>
        <w:t>Assessment</w:t>
      </w:r>
    </w:p>
    <w:p w14:paraId="2F3F815F" w14:textId="3715FA08" w:rsidR="00B85CFB" w:rsidRDefault="00F9653C" w:rsidP="009C23CA">
      <w:pPr>
        <w:spacing w:line="480" w:lineRule="auto"/>
        <w:jc w:val="both"/>
        <w:rPr>
          <w:rFonts w:ascii="Times New Roman" w:hAnsi="Times New Roman" w:cs="Times New Roman"/>
          <w:color w:val="000000"/>
        </w:rPr>
      </w:pPr>
      <w:r>
        <w:rPr>
          <w:rFonts w:ascii="Times New Roman" w:hAnsi="Times New Roman" w:cs="Times New Roman"/>
          <w:color w:val="000000"/>
        </w:rPr>
        <w:tab/>
        <w:t>I believe that India’s consistency with IHRL is a positive for its affirmative action jurisprudence</w:t>
      </w:r>
      <w:r w:rsidR="001E65AC" w:rsidRPr="00BA1F28">
        <w:rPr>
          <w:rFonts w:ascii="Times New Roman" w:hAnsi="Times New Roman" w:cs="Times New Roman"/>
          <w:color w:val="000000"/>
        </w:rPr>
        <w:t>.</w:t>
      </w:r>
      <w:r w:rsidR="001E65AC" w:rsidRPr="00B85CFB">
        <w:rPr>
          <w:rFonts w:ascii="Times New Roman" w:hAnsi="Times New Roman" w:cs="Times New Roman"/>
          <w:color w:val="000000"/>
        </w:rPr>
        <w:t xml:space="preserve"> </w:t>
      </w:r>
      <w:r w:rsidR="00B85CFB" w:rsidRPr="00B85CFB">
        <w:rPr>
          <w:rFonts w:ascii="Times New Roman" w:hAnsi="Times New Roman" w:cs="Times New Roman"/>
        </w:rPr>
        <w:t>This assumption is based on some value judgments, but can also be justified by reference to objective factors: consistency with IHRL allows a domestic Court to use the jurisprudence that has developed around international human rights and the jurisprudence of other jurisdictions that adhere to the human rights regime; consistency with IHRL allows for domestic jurisprudence to be used by the international community and other IHRL-consistent jurisdictions, thus possibly contributing to the development of domestic jurisprudence; consistency with IHRL increases standing with the international community by showing that a domestic legal system shares a common set of values with the international community, etc</w:t>
      </w:r>
      <w:r w:rsidR="00B85CFB">
        <w:rPr>
          <w:rFonts w:ascii="Times New Roman" w:hAnsi="Times New Roman" w:cs="Times New Roman"/>
        </w:rPr>
        <w:t>.</w:t>
      </w:r>
    </w:p>
    <w:p w14:paraId="227C28CE" w14:textId="40425025" w:rsidR="005577BD" w:rsidRPr="00BA1F28" w:rsidRDefault="00B85CFB" w:rsidP="005577BD">
      <w:pPr>
        <w:spacing w:line="480" w:lineRule="auto"/>
        <w:ind w:firstLine="720"/>
        <w:jc w:val="both"/>
        <w:rPr>
          <w:rFonts w:ascii="Times New Roman" w:hAnsi="Times New Roman" w:cs="Times New Roman"/>
          <w:color w:val="000000"/>
        </w:rPr>
      </w:pPr>
      <w:r>
        <w:rPr>
          <w:rFonts w:ascii="Times New Roman" w:hAnsi="Times New Roman" w:cs="Times New Roman"/>
          <w:color w:val="000000"/>
        </w:rPr>
        <w:lastRenderedPageBreak/>
        <w:t>However,</w:t>
      </w:r>
      <w:r w:rsidR="001E65AC" w:rsidRPr="00BA1F28">
        <w:rPr>
          <w:rFonts w:ascii="Times New Roman" w:hAnsi="Times New Roman" w:cs="Times New Roman"/>
          <w:color w:val="000000"/>
        </w:rPr>
        <w:t xml:space="preserve"> </w:t>
      </w:r>
      <w:r w:rsidR="005577BD">
        <w:rPr>
          <w:rFonts w:ascii="Times New Roman" w:hAnsi="Times New Roman" w:cs="Times New Roman"/>
          <w:color w:val="000000"/>
        </w:rPr>
        <w:t xml:space="preserve">this </w:t>
      </w:r>
      <w:r w:rsidR="001E65AC" w:rsidRPr="00BA1F28">
        <w:rPr>
          <w:rFonts w:ascii="Times New Roman" w:hAnsi="Times New Roman" w:cs="Times New Roman"/>
          <w:color w:val="000000"/>
        </w:rPr>
        <w:t xml:space="preserve">comparative advantage of the Indian system may simply </w:t>
      </w:r>
      <w:r w:rsidR="001E3790" w:rsidRPr="00BA1F28">
        <w:rPr>
          <w:rFonts w:ascii="Times New Roman" w:hAnsi="Times New Roman" w:cs="Times New Roman"/>
          <w:color w:val="000000"/>
        </w:rPr>
        <w:t>be the result of</w:t>
      </w:r>
      <w:r w:rsidR="001E65AC" w:rsidRPr="00BA1F28">
        <w:rPr>
          <w:rFonts w:ascii="Times New Roman" w:hAnsi="Times New Roman" w:cs="Times New Roman"/>
          <w:color w:val="000000"/>
        </w:rPr>
        <w:t xml:space="preserve"> my belief in monism</w:t>
      </w:r>
      <w:r w:rsidR="00E60390" w:rsidRPr="00BA1F28">
        <w:rPr>
          <w:rFonts w:ascii="Times New Roman" w:hAnsi="Times New Roman" w:cs="Times New Roman"/>
          <w:color w:val="000000"/>
        </w:rPr>
        <w:t xml:space="preserve"> in international law</w:t>
      </w:r>
      <w:r w:rsidR="001E65AC" w:rsidRPr="00BA1F28">
        <w:rPr>
          <w:rFonts w:ascii="Times New Roman" w:hAnsi="Times New Roman" w:cs="Times New Roman"/>
          <w:color w:val="000000"/>
        </w:rPr>
        <w:t xml:space="preserve"> and my value judgment that the international human rights regime is more protective of human capabilities and opportunities for development than in the United States. </w:t>
      </w:r>
      <w:r>
        <w:rPr>
          <w:rFonts w:ascii="Times New Roman" w:hAnsi="Times New Roman" w:cs="Times New Roman"/>
          <w:color w:val="000000"/>
        </w:rPr>
        <w:t>This</w:t>
      </w:r>
      <w:r w:rsidR="001E65AC" w:rsidRPr="00BA1F28">
        <w:rPr>
          <w:rFonts w:ascii="Times New Roman" w:hAnsi="Times New Roman" w:cs="Times New Roman"/>
          <w:color w:val="000000"/>
        </w:rPr>
        <w:t xml:space="preserve"> value judgment hinges on </w:t>
      </w:r>
      <w:r w:rsidR="006C0FA7">
        <w:rPr>
          <w:rFonts w:ascii="Times New Roman" w:hAnsi="Times New Roman" w:cs="Times New Roman"/>
          <w:color w:val="000000"/>
        </w:rPr>
        <w:t>the</w:t>
      </w:r>
      <w:r w:rsidR="001E65AC" w:rsidRPr="00BA1F28">
        <w:rPr>
          <w:rFonts w:ascii="Times New Roman" w:hAnsi="Times New Roman" w:cs="Times New Roman"/>
          <w:color w:val="000000"/>
        </w:rPr>
        <w:t xml:space="preserve"> belief, embedded in the human rights regime, that States have, or ought to have, positive obligations to promote and fulfill economic, social and cultural rights (i.e., along with civil and political rights, all the rights found in the UDHR). Obviously, for those who share </w:t>
      </w:r>
      <w:r w:rsidR="00E60390" w:rsidRPr="00BA1F28">
        <w:rPr>
          <w:rFonts w:ascii="Times New Roman" w:hAnsi="Times New Roman" w:cs="Times New Roman"/>
          <w:color w:val="000000"/>
        </w:rPr>
        <w:t>this belief a more state-centered</w:t>
      </w:r>
      <w:r w:rsidR="001E65AC" w:rsidRPr="00BA1F28">
        <w:rPr>
          <w:rFonts w:ascii="Times New Roman" w:hAnsi="Times New Roman" w:cs="Times New Roman"/>
          <w:color w:val="000000"/>
        </w:rPr>
        <w:t xml:space="preserve"> political economy is better than a </w:t>
      </w:r>
      <w:r w:rsidR="00E60390" w:rsidRPr="00BA1F28">
        <w:rPr>
          <w:rFonts w:ascii="Times New Roman" w:hAnsi="Times New Roman" w:cs="Times New Roman"/>
          <w:color w:val="000000"/>
        </w:rPr>
        <w:t>more market-centered</w:t>
      </w:r>
      <w:r w:rsidR="001E65AC" w:rsidRPr="00BA1F28">
        <w:rPr>
          <w:rFonts w:ascii="Times New Roman" w:hAnsi="Times New Roman" w:cs="Times New Roman"/>
          <w:color w:val="000000"/>
        </w:rPr>
        <w:t xml:space="preserve"> </w:t>
      </w:r>
      <w:r w:rsidR="006C0FA7">
        <w:rPr>
          <w:rFonts w:ascii="Times New Roman" w:hAnsi="Times New Roman" w:cs="Times New Roman"/>
          <w:color w:val="000000"/>
        </w:rPr>
        <w:t>economy</w:t>
      </w:r>
      <w:r w:rsidR="001E65AC" w:rsidRPr="00BA1F28">
        <w:rPr>
          <w:rFonts w:ascii="Times New Roman" w:hAnsi="Times New Roman" w:cs="Times New Roman"/>
          <w:color w:val="000000"/>
        </w:rPr>
        <w:t>, since po</w:t>
      </w:r>
      <w:r w:rsidR="00E60390" w:rsidRPr="00BA1F28">
        <w:rPr>
          <w:rFonts w:ascii="Times New Roman" w:hAnsi="Times New Roman" w:cs="Times New Roman"/>
          <w:color w:val="000000"/>
        </w:rPr>
        <w:t xml:space="preserve">sitive </w:t>
      </w:r>
      <w:r w:rsidR="006C0FA7">
        <w:rPr>
          <w:rFonts w:ascii="Times New Roman" w:hAnsi="Times New Roman" w:cs="Times New Roman"/>
          <w:color w:val="000000"/>
        </w:rPr>
        <w:t>obligations</w:t>
      </w:r>
      <w:r w:rsidR="00E60390" w:rsidRPr="00BA1F28">
        <w:rPr>
          <w:rFonts w:ascii="Times New Roman" w:hAnsi="Times New Roman" w:cs="Times New Roman"/>
          <w:color w:val="000000"/>
        </w:rPr>
        <w:t xml:space="preserve"> entail state action</w:t>
      </w:r>
      <w:r w:rsidR="001E65AC" w:rsidRPr="00BA1F28">
        <w:rPr>
          <w:rFonts w:ascii="Times New Roman" w:hAnsi="Times New Roman" w:cs="Times New Roman"/>
          <w:color w:val="000000"/>
        </w:rPr>
        <w:t>. For tho</w:t>
      </w:r>
      <w:r w:rsidR="001E3790" w:rsidRPr="00BA1F28">
        <w:rPr>
          <w:rFonts w:ascii="Times New Roman" w:hAnsi="Times New Roman" w:cs="Times New Roman"/>
          <w:color w:val="000000"/>
        </w:rPr>
        <w:t>se who do</w:t>
      </w:r>
      <w:r w:rsidR="00E60390" w:rsidRPr="00BA1F28">
        <w:rPr>
          <w:rFonts w:ascii="Times New Roman" w:hAnsi="Times New Roman" w:cs="Times New Roman"/>
          <w:color w:val="000000"/>
        </w:rPr>
        <w:t xml:space="preserve"> not share this belief, the US</w:t>
      </w:r>
      <w:r w:rsidR="001E3790" w:rsidRPr="00BA1F28">
        <w:rPr>
          <w:rFonts w:ascii="Times New Roman" w:hAnsi="Times New Roman" w:cs="Times New Roman"/>
          <w:color w:val="000000"/>
        </w:rPr>
        <w:t xml:space="preserve"> system may in fact be better. </w:t>
      </w:r>
    </w:p>
    <w:p w14:paraId="104BA9EA" w14:textId="69E9BA60" w:rsidR="007F10EF" w:rsidRDefault="002C2D79" w:rsidP="009C23CA">
      <w:pPr>
        <w:spacing w:line="480" w:lineRule="auto"/>
        <w:jc w:val="both"/>
        <w:rPr>
          <w:rFonts w:ascii="Times New Roman" w:hAnsi="Times New Roman" w:cs="Times New Roman"/>
          <w:color w:val="000000"/>
        </w:rPr>
      </w:pPr>
      <w:r w:rsidRPr="00BA1F28">
        <w:rPr>
          <w:rFonts w:ascii="Times New Roman" w:hAnsi="Times New Roman" w:cs="Times New Roman"/>
          <w:color w:val="000000"/>
        </w:rPr>
        <w:tab/>
      </w:r>
      <w:r w:rsidR="00522227">
        <w:rPr>
          <w:rFonts w:ascii="Times New Roman" w:hAnsi="Times New Roman" w:cs="Times New Roman"/>
          <w:color w:val="000000"/>
        </w:rPr>
        <w:t xml:space="preserve">I also think </w:t>
      </w:r>
      <w:r w:rsidR="006C0FA7">
        <w:rPr>
          <w:rFonts w:ascii="Times New Roman" w:hAnsi="Times New Roman" w:cs="Times New Roman"/>
          <w:color w:val="000000"/>
        </w:rPr>
        <w:t xml:space="preserve">that </w:t>
      </w:r>
      <w:r w:rsidR="00522227">
        <w:rPr>
          <w:rFonts w:ascii="Times New Roman" w:hAnsi="Times New Roman" w:cs="Times New Roman"/>
          <w:color w:val="000000"/>
        </w:rPr>
        <w:t xml:space="preserve">US jurisprudence </w:t>
      </w:r>
      <w:r w:rsidR="007F10EF">
        <w:rPr>
          <w:rFonts w:ascii="Times New Roman" w:hAnsi="Times New Roman" w:cs="Times New Roman"/>
          <w:color w:val="000000"/>
        </w:rPr>
        <w:t xml:space="preserve">suffers from a lack of </w:t>
      </w:r>
      <w:r w:rsidR="00FE79F7">
        <w:rPr>
          <w:rFonts w:ascii="Times New Roman" w:hAnsi="Times New Roman" w:cs="Times New Roman"/>
          <w:color w:val="000000"/>
        </w:rPr>
        <w:t>internal consistency when it come</w:t>
      </w:r>
      <w:r w:rsidR="007F10EF">
        <w:rPr>
          <w:rFonts w:ascii="Times New Roman" w:hAnsi="Times New Roman" w:cs="Times New Roman"/>
          <w:color w:val="000000"/>
        </w:rPr>
        <w:t>s to affirmative action, e.g.</w:t>
      </w:r>
      <w:r w:rsidR="00522227">
        <w:rPr>
          <w:rFonts w:ascii="Times New Roman" w:hAnsi="Times New Roman" w:cs="Times New Roman"/>
          <w:color w:val="000000"/>
        </w:rPr>
        <w:t xml:space="preserve"> </w:t>
      </w:r>
      <w:r w:rsidR="00522227" w:rsidRPr="00522227">
        <w:rPr>
          <w:rFonts w:ascii="Times New Roman" w:hAnsi="Times New Roman" w:cs="Times New Roman"/>
          <w:color w:val="000000"/>
          <w:u w:val="single"/>
        </w:rPr>
        <w:t>Grutter</w:t>
      </w:r>
      <w:r w:rsidR="007F10EF">
        <w:rPr>
          <w:rFonts w:ascii="Times New Roman" w:hAnsi="Times New Roman" w:cs="Times New Roman"/>
          <w:color w:val="000000"/>
        </w:rPr>
        <w:t xml:space="preserve"> appears to apply</w:t>
      </w:r>
      <w:r w:rsidR="00522227">
        <w:rPr>
          <w:rFonts w:ascii="Times New Roman" w:hAnsi="Times New Roman" w:cs="Times New Roman"/>
          <w:color w:val="000000"/>
        </w:rPr>
        <w:t xml:space="preserve"> an anomalous form of strict scrutiny</w:t>
      </w:r>
      <w:r w:rsidR="00C00455" w:rsidRPr="00BA1F28">
        <w:rPr>
          <w:rFonts w:ascii="Times New Roman" w:hAnsi="Times New Roman" w:cs="Times New Roman"/>
          <w:color w:val="000000"/>
        </w:rPr>
        <w:t xml:space="preserve">. Specifically, </w:t>
      </w:r>
      <w:r w:rsidR="007F10EF">
        <w:rPr>
          <w:rFonts w:ascii="Times New Roman" w:hAnsi="Times New Roman" w:cs="Times New Roman"/>
          <w:color w:val="000000"/>
        </w:rPr>
        <w:t>by showing a special solicitude for universities, the Court deferred to the judgment of the University that educational diversity is essential to its mission, which basically allowed the university to determine</w:t>
      </w:r>
      <w:r w:rsidR="00FE79F7">
        <w:rPr>
          <w:rFonts w:ascii="Times New Roman" w:hAnsi="Times New Roman" w:cs="Times New Roman"/>
          <w:color w:val="000000"/>
        </w:rPr>
        <w:t xml:space="preserve"> on its own</w:t>
      </w:r>
      <w:r w:rsidR="007F10EF">
        <w:rPr>
          <w:rFonts w:ascii="Times New Roman" w:hAnsi="Times New Roman" w:cs="Times New Roman"/>
          <w:color w:val="000000"/>
        </w:rPr>
        <w:t xml:space="preserve"> that obtaining such diversity is a compelling </w:t>
      </w:r>
      <w:r w:rsidR="00FE79F7">
        <w:rPr>
          <w:rFonts w:ascii="Times New Roman" w:hAnsi="Times New Roman" w:cs="Times New Roman"/>
          <w:color w:val="000000"/>
        </w:rPr>
        <w:t xml:space="preserve">government </w:t>
      </w:r>
      <w:r w:rsidR="007F10EF">
        <w:rPr>
          <w:rFonts w:ascii="Times New Roman" w:hAnsi="Times New Roman" w:cs="Times New Roman"/>
          <w:color w:val="000000"/>
        </w:rPr>
        <w:t>interest</w:t>
      </w:r>
      <w:r w:rsidR="00C00455" w:rsidRPr="00BA1F28">
        <w:rPr>
          <w:rFonts w:ascii="Times New Roman" w:hAnsi="Times New Roman" w:cs="Times New Roman"/>
          <w:color w:val="000000"/>
        </w:rPr>
        <w:t xml:space="preserve">. This seems inconsistent with other areas of affirmative action jurisprudence that prohibit general remedial measures based on racial classifications. </w:t>
      </w:r>
    </w:p>
    <w:p w14:paraId="571EBEEB" w14:textId="41C23CAA" w:rsidR="00BF4042" w:rsidRPr="00BA1F28" w:rsidRDefault="00BF4042" w:rsidP="007F10EF">
      <w:pPr>
        <w:spacing w:line="480" w:lineRule="auto"/>
        <w:ind w:firstLine="720"/>
        <w:jc w:val="both"/>
        <w:rPr>
          <w:rFonts w:ascii="Times New Roman" w:hAnsi="Times New Roman" w:cs="Times New Roman"/>
        </w:rPr>
      </w:pPr>
      <w:r w:rsidRPr="00BA1F28">
        <w:rPr>
          <w:rFonts w:ascii="Times New Roman" w:hAnsi="Times New Roman" w:cs="Times New Roman"/>
          <w:color w:val="000000"/>
        </w:rPr>
        <w:t xml:space="preserve">The Court does in the end reach the substantive result that I find most agreeable. However, I agree with Justice Ginsburg that after </w:t>
      </w:r>
      <w:r w:rsidRPr="00BA1F28">
        <w:rPr>
          <w:rFonts w:ascii="Times New Roman" w:hAnsi="Times New Roman" w:cs="Times New Roman"/>
          <w:color w:val="000000"/>
          <w:u w:val="single"/>
        </w:rPr>
        <w:t>Gratz</w:t>
      </w:r>
      <w:r w:rsidR="00E60390" w:rsidRPr="00BA1F28">
        <w:rPr>
          <w:rFonts w:ascii="Times New Roman" w:hAnsi="Times New Roman" w:cs="Times New Roman"/>
          <w:color w:val="000000"/>
        </w:rPr>
        <w:t>, a negative for</w:t>
      </w:r>
      <w:r w:rsidRPr="00BA1F28">
        <w:rPr>
          <w:rFonts w:ascii="Times New Roman" w:hAnsi="Times New Roman" w:cs="Times New Roman"/>
          <w:color w:val="000000"/>
        </w:rPr>
        <w:t xml:space="preserve"> US jurisprudence is a lack of transparency. Universities, consistent with their educational mission, will want to maintain their minority enrollment, and if they cannot do so with a plan like the LSA’s, then they “may resort to camouflage.”</w:t>
      </w:r>
      <w:r w:rsidRPr="00BA1F28">
        <w:rPr>
          <w:rStyle w:val="FootnoteReference"/>
          <w:rFonts w:ascii="Times New Roman" w:hAnsi="Times New Roman" w:cs="Times New Roman"/>
          <w:color w:val="000000"/>
        </w:rPr>
        <w:footnoteReference w:id="74"/>
      </w:r>
      <w:r w:rsidRPr="00BA1F28">
        <w:rPr>
          <w:rFonts w:ascii="Times New Roman" w:hAnsi="Times New Roman" w:cs="Times New Roman"/>
          <w:color w:val="000000"/>
        </w:rPr>
        <w:t xml:space="preserve"> “</w:t>
      </w:r>
      <w:r w:rsidRPr="00BA1F28">
        <w:rPr>
          <w:rFonts w:ascii="Times New Roman" w:hAnsi="Times New Roman" w:cs="Times New Roman"/>
        </w:rPr>
        <w:t>If honesty is the best</w:t>
      </w:r>
      <w:r w:rsidRPr="00BA1F28">
        <w:rPr>
          <w:rFonts w:ascii="Times New Roman" w:hAnsi="Times New Roman" w:cs="Times New Roman"/>
          <w:color w:val="000000"/>
        </w:rPr>
        <w:t xml:space="preserve"> </w:t>
      </w:r>
      <w:r w:rsidRPr="00BA1F28">
        <w:rPr>
          <w:rFonts w:ascii="Times New Roman" w:hAnsi="Times New Roman" w:cs="Times New Roman"/>
        </w:rPr>
        <w:t>policy, surely Michigan’s accurately described, fully disclosed</w:t>
      </w:r>
      <w:r w:rsidR="002B4A23" w:rsidRPr="00BA1F28">
        <w:rPr>
          <w:rFonts w:ascii="Times New Roman" w:hAnsi="Times New Roman" w:cs="Times New Roman"/>
          <w:color w:val="000000"/>
        </w:rPr>
        <w:t xml:space="preserve"> </w:t>
      </w:r>
      <w:r w:rsidRPr="00BA1F28">
        <w:rPr>
          <w:rFonts w:ascii="Times New Roman" w:hAnsi="Times New Roman" w:cs="Times New Roman"/>
        </w:rPr>
        <w:t>College affirmative action program is preferable to achieving</w:t>
      </w:r>
      <w:r w:rsidR="002B4A23" w:rsidRPr="00BA1F28">
        <w:rPr>
          <w:rFonts w:ascii="Times New Roman" w:hAnsi="Times New Roman" w:cs="Times New Roman"/>
          <w:color w:val="000000"/>
        </w:rPr>
        <w:t xml:space="preserve"> </w:t>
      </w:r>
      <w:r w:rsidRPr="00BA1F28">
        <w:rPr>
          <w:rFonts w:ascii="Times New Roman" w:hAnsi="Times New Roman" w:cs="Times New Roman"/>
        </w:rPr>
        <w:t xml:space="preserve">similar numbers </w:t>
      </w:r>
      <w:r w:rsidRPr="00BA1F28">
        <w:rPr>
          <w:rFonts w:ascii="Times New Roman" w:hAnsi="Times New Roman" w:cs="Times New Roman"/>
        </w:rPr>
        <w:lastRenderedPageBreak/>
        <w:t>through winks, nods, and disguises</w:t>
      </w:r>
      <w:r w:rsidR="002B4A23" w:rsidRPr="00BA1F28">
        <w:rPr>
          <w:rFonts w:ascii="Times New Roman" w:hAnsi="Times New Roman" w:cs="Times New Roman"/>
        </w:rPr>
        <w:t>.”</w:t>
      </w:r>
      <w:r w:rsidR="002B4A23" w:rsidRPr="00BA1F28">
        <w:rPr>
          <w:rStyle w:val="FootnoteReference"/>
          <w:rFonts w:ascii="Times New Roman" w:hAnsi="Times New Roman" w:cs="Times New Roman"/>
        </w:rPr>
        <w:footnoteReference w:id="75"/>
      </w:r>
      <w:r w:rsidR="002B4A23" w:rsidRPr="00BA1F28">
        <w:rPr>
          <w:rFonts w:ascii="Times New Roman" w:hAnsi="Times New Roman" w:cs="Times New Roman"/>
        </w:rPr>
        <w:t xml:space="preserve"> After </w:t>
      </w:r>
      <w:r w:rsidR="002B4A23" w:rsidRPr="00BA1F28">
        <w:rPr>
          <w:rFonts w:ascii="Times New Roman" w:hAnsi="Times New Roman" w:cs="Times New Roman"/>
          <w:u w:val="single"/>
        </w:rPr>
        <w:t>Gratz</w:t>
      </w:r>
      <w:r w:rsidR="002B4A23" w:rsidRPr="00BA1F28">
        <w:rPr>
          <w:rFonts w:ascii="Times New Roman" w:hAnsi="Times New Roman" w:cs="Times New Roman"/>
        </w:rPr>
        <w:t xml:space="preserve">, Michigan could implement a similar affirmative action policy and achieve the same results in student diversity simply by not disclosing the plan. I think that it is a </w:t>
      </w:r>
      <w:r w:rsidR="00E60390" w:rsidRPr="00BA1F28">
        <w:rPr>
          <w:rFonts w:ascii="Times New Roman" w:hAnsi="Times New Roman" w:cs="Times New Roman"/>
        </w:rPr>
        <w:t>weakness</w:t>
      </w:r>
      <w:r w:rsidR="002B4A23" w:rsidRPr="00BA1F28">
        <w:rPr>
          <w:rFonts w:ascii="Times New Roman" w:hAnsi="Times New Roman" w:cs="Times New Roman"/>
        </w:rPr>
        <w:t xml:space="preserve"> </w:t>
      </w:r>
      <w:r w:rsidR="00E60390" w:rsidRPr="00BA1F28">
        <w:rPr>
          <w:rFonts w:ascii="Times New Roman" w:hAnsi="Times New Roman" w:cs="Times New Roman"/>
        </w:rPr>
        <w:t>if</w:t>
      </w:r>
      <w:r w:rsidR="002B4A23" w:rsidRPr="00BA1F28">
        <w:rPr>
          <w:rFonts w:ascii="Times New Roman" w:hAnsi="Times New Roman" w:cs="Times New Roman"/>
        </w:rPr>
        <w:t xml:space="preserve"> an </w:t>
      </w:r>
      <w:r w:rsidR="00522227">
        <w:rPr>
          <w:rFonts w:ascii="Times New Roman" w:hAnsi="Times New Roman" w:cs="Times New Roman"/>
        </w:rPr>
        <w:t>affirmative action program</w:t>
      </w:r>
      <w:r w:rsidR="002B4A23" w:rsidRPr="00BA1F28">
        <w:rPr>
          <w:rFonts w:ascii="Times New Roman" w:hAnsi="Times New Roman" w:cs="Times New Roman"/>
        </w:rPr>
        <w:t xml:space="preserve"> is not transparent, as it may lead to an abuse of discretion and unfair outcomes. </w:t>
      </w:r>
    </w:p>
    <w:p w14:paraId="3A73E094" w14:textId="73A3B087" w:rsidR="00A33FA1" w:rsidRPr="00BA1F28" w:rsidRDefault="00A33FA1" w:rsidP="009C23CA">
      <w:pPr>
        <w:spacing w:line="480" w:lineRule="auto"/>
        <w:jc w:val="both"/>
        <w:rPr>
          <w:rFonts w:ascii="Times New Roman" w:hAnsi="Times New Roman" w:cs="Times New Roman"/>
        </w:rPr>
      </w:pPr>
      <w:r w:rsidRPr="00BA1F28">
        <w:rPr>
          <w:rFonts w:ascii="Times New Roman" w:hAnsi="Times New Roman" w:cs="Times New Roman"/>
        </w:rPr>
        <w:tab/>
        <w:t>Probably the most problematic aspect of Indian jurisprudence is the permissible use of quotas. It seems to me that the use of quotas is antithetical to our American sensibilities. Even if quotas were based on gender clas</w:t>
      </w:r>
      <w:r w:rsidR="00522227">
        <w:rPr>
          <w:rFonts w:ascii="Times New Roman" w:hAnsi="Times New Roman" w:cs="Times New Roman"/>
        </w:rPr>
        <w:t>sifications, thus triggering</w:t>
      </w:r>
      <w:r w:rsidRPr="00BA1F28">
        <w:rPr>
          <w:rFonts w:ascii="Times New Roman" w:hAnsi="Times New Roman" w:cs="Times New Roman"/>
        </w:rPr>
        <w:t xml:space="preserve"> intermediate scrut</w:t>
      </w:r>
      <w:r w:rsidR="00522227">
        <w:rPr>
          <w:rFonts w:ascii="Times New Roman" w:hAnsi="Times New Roman" w:cs="Times New Roman"/>
        </w:rPr>
        <w:t xml:space="preserve">iny, it seems clear that such </w:t>
      </w:r>
      <w:r w:rsidRPr="00BA1F28">
        <w:rPr>
          <w:rFonts w:ascii="Times New Roman" w:hAnsi="Times New Roman" w:cs="Times New Roman"/>
        </w:rPr>
        <w:t>measur</w:t>
      </w:r>
      <w:r w:rsidR="00522227">
        <w:rPr>
          <w:rFonts w:ascii="Times New Roman" w:hAnsi="Times New Roman" w:cs="Times New Roman"/>
        </w:rPr>
        <w:t>es</w:t>
      </w:r>
      <w:r w:rsidRPr="00BA1F28">
        <w:rPr>
          <w:rFonts w:ascii="Times New Roman" w:hAnsi="Times New Roman" w:cs="Times New Roman"/>
        </w:rPr>
        <w:t xml:space="preserve"> would not be found to be sub</w:t>
      </w:r>
      <w:r w:rsidR="001D4BA9">
        <w:rPr>
          <w:rFonts w:ascii="Times New Roman" w:hAnsi="Times New Roman" w:cs="Times New Roman"/>
        </w:rPr>
        <w:t xml:space="preserve">stantially related to further </w:t>
      </w:r>
      <w:r w:rsidRPr="00BA1F28">
        <w:rPr>
          <w:rFonts w:ascii="Times New Roman" w:hAnsi="Times New Roman" w:cs="Times New Roman"/>
        </w:rPr>
        <w:t xml:space="preserve">an important government interest. </w:t>
      </w:r>
      <w:r w:rsidR="000725C9">
        <w:rPr>
          <w:rFonts w:ascii="Times New Roman" w:hAnsi="Times New Roman" w:cs="Times New Roman"/>
        </w:rPr>
        <w:t>I</w:t>
      </w:r>
      <w:r w:rsidR="00EF4A26" w:rsidRPr="00BA1F28">
        <w:rPr>
          <w:rFonts w:ascii="Times New Roman" w:hAnsi="Times New Roman" w:cs="Times New Roman"/>
        </w:rPr>
        <w:t xml:space="preserve">t is clear that in the US it is vital that affirmative action does not take individuals out of competition with each other for certain opportunities. </w:t>
      </w:r>
      <w:r w:rsidR="004358AD" w:rsidRPr="00BA1F28">
        <w:rPr>
          <w:rFonts w:ascii="Times New Roman" w:hAnsi="Times New Roman" w:cs="Times New Roman"/>
        </w:rPr>
        <w:t xml:space="preserve">However, it </w:t>
      </w:r>
      <w:r w:rsidR="001D4BA9">
        <w:rPr>
          <w:rFonts w:ascii="Times New Roman" w:hAnsi="Times New Roman" w:cs="Times New Roman"/>
        </w:rPr>
        <w:t>is also</w:t>
      </w:r>
      <w:r w:rsidR="004358AD" w:rsidRPr="00BA1F28">
        <w:rPr>
          <w:rFonts w:ascii="Times New Roman" w:hAnsi="Times New Roman" w:cs="Times New Roman"/>
        </w:rPr>
        <w:t xml:space="preserve"> clear that the use of quotas, not just in the educational context, is widespread in international human rights law and in many do</w:t>
      </w:r>
      <w:r w:rsidR="001D4BA9">
        <w:rPr>
          <w:rFonts w:ascii="Times New Roman" w:hAnsi="Times New Roman" w:cs="Times New Roman"/>
        </w:rPr>
        <w:t xml:space="preserve">mestic jurisdictions, e.g. </w:t>
      </w:r>
      <w:r w:rsidR="004358AD" w:rsidRPr="00BA1F28">
        <w:rPr>
          <w:rFonts w:ascii="Times New Roman" w:hAnsi="Times New Roman" w:cs="Times New Roman"/>
        </w:rPr>
        <w:t>Germany.</w:t>
      </w:r>
      <w:r w:rsidR="004358AD" w:rsidRPr="00BA1F28">
        <w:rPr>
          <w:rStyle w:val="FootnoteReference"/>
          <w:rFonts w:ascii="Times New Roman" w:hAnsi="Times New Roman" w:cs="Times New Roman"/>
        </w:rPr>
        <w:footnoteReference w:id="76"/>
      </w:r>
      <w:r w:rsidR="004358AD" w:rsidRPr="00BA1F28">
        <w:rPr>
          <w:rFonts w:ascii="Times New Roman" w:hAnsi="Times New Roman" w:cs="Times New Roman"/>
        </w:rPr>
        <w:t xml:space="preserve"> </w:t>
      </w:r>
    </w:p>
    <w:p w14:paraId="28B8ED87" w14:textId="2E2703A8" w:rsidR="003A360F" w:rsidRPr="00BA1F28" w:rsidRDefault="00FA7C2D" w:rsidP="009C23CA">
      <w:pPr>
        <w:pStyle w:val="ListParagraph"/>
        <w:numPr>
          <w:ilvl w:val="0"/>
          <w:numId w:val="3"/>
        </w:numPr>
        <w:spacing w:line="480" w:lineRule="auto"/>
        <w:jc w:val="both"/>
        <w:rPr>
          <w:rFonts w:ascii="Times New Roman" w:hAnsi="Times New Roman" w:cs="Times New Roman"/>
          <w:u w:val="single"/>
        </w:rPr>
      </w:pPr>
      <w:r>
        <w:rPr>
          <w:rFonts w:ascii="Times New Roman" w:hAnsi="Times New Roman" w:cs="Times New Roman"/>
          <w:u w:val="single"/>
        </w:rPr>
        <w:t xml:space="preserve">Post-Analysis: </w:t>
      </w:r>
      <w:r w:rsidR="003A360F" w:rsidRPr="00BA1F28">
        <w:rPr>
          <w:rFonts w:ascii="Times New Roman" w:hAnsi="Times New Roman" w:cs="Times New Roman"/>
          <w:u w:val="single"/>
        </w:rPr>
        <w:t>Research Path</w:t>
      </w:r>
    </w:p>
    <w:p w14:paraId="597D1348" w14:textId="2CA7ED22" w:rsidR="003A360F" w:rsidRPr="00BA1F28" w:rsidRDefault="003A360F" w:rsidP="009C23CA">
      <w:pPr>
        <w:spacing w:line="480" w:lineRule="auto"/>
        <w:jc w:val="both"/>
        <w:rPr>
          <w:rFonts w:ascii="Times New Roman" w:hAnsi="Times New Roman" w:cs="Times New Roman"/>
          <w:color w:val="000000"/>
        </w:rPr>
      </w:pPr>
      <w:r w:rsidRPr="00BA1F28">
        <w:rPr>
          <w:rFonts w:ascii="Times New Roman" w:hAnsi="Times New Roman" w:cs="Times New Roman"/>
        </w:rPr>
        <w:tab/>
        <w:t>I came up with the idea for this paper af</w:t>
      </w:r>
      <w:r w:rsidR="004E70BC">
        <w:rPr>
          <w:rFonts w:ascii="Times New Roman" w:hAnsi="Times New Roman" w:cs="Times New Roman"/>
        </w:rPr>
        <w:t>ter reading Farbstein’s paper on</w:t>
      </w:r>
      <w:r w:rsidRPr="00BA1F28">
        <w:rPr>
          <w:rFonts w:ascii="Times New Roman" w:hAnsi="Times New Roman" w:cs="Times New Roman"/>
        </w:rPr>
        <w:t xml:space="preserve"> Justice Ginsburg’s use of comparative law for my Human Rights in the World Community course. The paper specificall</w:t>
      </w:r>
      <w:r w:rsidR="005E0DC6" w:rsidRPr="00BA1F28">
        <w:rPr>
          <w:rFonts w:ascii="Times New Roman" w:hAnsi="Times New Roman" w:cs="Times New Roman"/>
        </w:rPr>
        <w:t>y focused on affirmative action.</w:t>
      </w:r>
      <w:r w:rsidRPr="00BA1F28">
        <w:rPr>
          <w:rFonts w:ascii="Times New Roman" w:hAnsi="Times New Roman" w:cs="Times New Roman"/>
        </w:rPr>
        <w:t xml:space="preserve"> I then proceeded to search for comparative studies on affirmative action by using Google, and found the European Commission study by Fredman. I read the section on India’s affirmative action jurisprudence and saw the reference to </w:t>
      </w:r>
      <w:r w:rsidRPr="00BA1F28">
        <w:rPr>
          <w:rFonts w:ascii="Times New Roman" w:hAnsi="Times New Roman" w:cs="Times New Roman"/>
          <w:u w:val="single"/>
        </w:rPr>
        <w:t>Ashoka</w:t>
      </w:r>
      <w:r w:rsidRPr="00BA1F28">
        <w:rPr>
          <w:rFonts w:ascii="Times New Roman" w:hAnsi="Times New Roman" w:cs="Times New Roman"/>
        </w:rPr>
        <w:t xml:space="preserve">. I then researched the case to see if any subsequent developments had been made. </w:t>
      </w:r>
      <w:r w:rsidR="005E0DC6" w:rsidRPr="00BA1F28">
        <w:rPr>
          <w:rFonts w:ascii="Times New Roman" w:hAnsi="Times New Roman" w:cs="Times New Roman"/>
        </w:rPr>
        <w:t>I then</w:t>
      </w:r>
      <w:r w:rsidR="00F325DA">
        <w:rPr>
          <w:rFonts w:ascii="Times New Roman" w:hAnsi="Times New Roman" w:cs="Times New Roman"/>
        </w:rPr>
        <w:t xml:space="preserve"> searched </w:t>
      </w:r>
      <w:r w:rsidR="005E0DC6" w:rsidRPr="00BA1F28">
        <w:rPr>
          <w:rFonts w:ascii="Times New Roman" w:hAnsi="Times New Roman" w:cs="Times New Roman"/>
        </w:rPr>
        <w:t>the Supreme Court of India’s Judgment Information System</w:t>
      </w:r>
      <w:r w:rsidR="00F325DA">
        <w:rPr>
          <w:rStyle w:val="FootnoteReference"/>
          <w:rFonts w:ascii="Times New Roman" w:hAnsi="Times New Roman" w:cs="Times New Roman"/>
        </w:rPr>
        <w:footnoteReference w:id="77"/>
      </w:r>
      <w:r w:rsidR="005E0DC6" w:rsidRPr="00BA1F28">
        <w:rPr>
          <w:rFonts w:ascii="Times New Roman" w:hAnsi="Times New Roman" w:cs="Times New Roman"/>
        </w:rPr>
        <w:t xml:space="preserve"> to find the judgments in the </w:t>
      </w:r>
      <w:r w:rsidR="005E0DC6" w:rsidRPr="00BA1F28">
        <w:rPr>
          <w:rFonts w:ascii="Times New Roman" w:hAnsi="Times New Roman" w:cs="Times New Roman"/>
          <w:u w:val="single"/>
        </w:rPr>
        <w:t>Ashoka</w:t>
      </w:r>
      <w:r w:rsidR="005E0DC6" w:rsidRPr="00BA1F28">
        <w:rPr>
          <w:rFonts w:ascii="Times New Roman" w:hAnsi="Times New Roman" w:cs="Times New Roman"/>
        </w:rPr>
        <w:t xml:space="preserve"> case. I concentrated on the judgment of the Chief Justice of India, since that opinion appears to be the most often cited. Within the opinion itself I was able to find references to </w:t>
      </w:r>
      <w:r w:rsidR="005E0DC6" w:rsidRPr="00BA1F28">
        <w:rPr>
          <w:rFonts w:ascii="Times New Roman" w:hAnsi="Times New Roman" w:cs="Times New Roman"/>
        </w:rPr>
        <w:lastRenderedPageBreak/>
        <w:t xml:space="preserve">specific provisions of the Constitution of India, which I was able to find and read after a Google search. For American law, I relied on the Farbstein article’s reference to </w:t>
      </w:r>
      <w:r w:rsidR="005E0DC6" w:rsidRPr="00BA1F28">
        <w:rPr>
          <w:rFonts w:ascii="Times New Roman" w:hAnsi="Times New Roman" w:cs="Times New Roman"/>
          <w:u w:val="single"/>
        </w:rPr>
        <w:t>Grutter</w:t>
      </w:r>
      <w:r w:rsidR="005E0DC6" w:rsidRPr="00BA1F28">
        <w:rPr>
          <w:rFonts w:ascii="Times New Roman" w:hAnsi="Times New Roman" w:cs="Times New Roman"/>
        </w:rPr>
        <w:t xml:space="preserve"> and </w:t>
      </w:r>
      <w:r w:rsidR="005E0DC6" w:rsidRPr="00BA1F28">
        <w:rPr>
          <w:rFonts w:ascii="Times New Roman" w:hAnsi="Times New Roman" w:cs="Times New Roman"/>
          <w:u w:val="single"/>
        </w:rPr>
        <w:t>Gratz</w:t>
      </w:r>
      <w:r w:rsidR="005E0DC6" w:rsidRPr="00BA1F28">
        <w:rPr>
          <w:rFonts w:ascii="Times New Roman" w:hAnsi="Times New Roman" w:cs="Times New Roman"/>
        </w:rPr>
        <w:t xml:space="preserve">, and my own knowledge of Equal Protection Analysis from Constitutional Law II. </w:t>
      </w:r>
      <w:r w:rsidR="00A7242C" w:rsidRPr="00BA1F28">
        <w:rPr>
          <w:rFonts w:ascii="Times New Roman" w:hAnsi="Times New Roman" w:cs="Times New Roman"/>
        </w:rPr>
        <w:t xml:space="preserve">For the international human rights perspective, I relied on my background knowledge of IHRL, the references to ICERD and CEDAW made by Ginsburg in </w:t>
      </w:r>
      <w:r w:rsidR="00A7242C" w:rsidRPr="00BA1F28">
        <w:rPr>
          <w:rFonts w:ascii="Times New Roman" w:hAnsi="Times New Roman" w:cs="Times New Roman"/>
          <w:u w:val="single"/>
        </w:rPr>
        <w:t>Grutter</w:t>
      </w:r>
      <w:r w:rsidR="00A7242C" w:rsidRPr="00BA1F28">
        <w:rPr>
          <w:rFonts w:ascii="Times New Roman" w:hAnsi="Times New Roman" w:cs="Times New Roman"/>
        </w:rPr>
        <w:t xml:space="preserve"> and </w:t>
      </w:r>
      <w:r w:rsidR="00A7242C" w:rsidRPr="00BA1F28">
        <w:rPr>
          <w:rFonts w:ascii="Times New Roman" w:hAnsi="Times New Roman" w:cs="Times New Roman"/>
          <w:u w:val="single"/>
        </w:rPr>
        <w:t>Gratz</w:t>
      </w:r>
      <w:r w:rsidR="00A7242C" w:rsidRPr="00BA1F28">
        <w:rPr>
          <w:rFonts w:ascii="Times New Roman" w:hAnsi="Times New Roman" w:cs="Times New Roman"/>
        </w:rPr>
        <w:t xml:space="preserve">, and my independent research on the nature of State obligations under the international human rights regime. </w:t>
      </w:r>
      <w:r w:rsidR="00F325DA">
        <w:rPr>
          <w:rFonts w:ascii="Times New Roman" w:hAnsi="Times New Roman" w:cs="Times New Roman"/>
        </w:rPr>
        <w:t xml:space="preserve">Also, for the application of the political economy thesis I relied on the readings for this course. </w:t>
      </w:r>
    </w:p>
    <w:sectPr w:rsidR="003A360F" w:rsidRPr="00BA1F28" w:rsidSect="00B60399">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DF91" w14:textId="77777777" w:rsidR="005F6561" w:rsidRDefault="005F6561" w:rsidP="002F4ED9">
      <w:r>
        <w:separator/>
      </w:r>
    </w:p>
  </w:endnote>
  <w:endnote w:type="continuationSeparator" w:id="0">
    <w:p w14:paraId="4CE4674C" w14:textId="77777777" w:rsidR="005F6561" w:rsidRDefault="005F6561" w:rsidP="002F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Garamond">
    <w:altName w:val="AGaramond"/>
    <w:panose1 w:val="020B0604020202020204"/>
    <w:charset w:val="4D"/>
    <w:family w:val="roman"/>
    <w:notTrueType/>
    <w:pitch w:val="default"/>
    <w:sig w:usb0="00000003" w:usb1="00000000" w:usb2="00000000" w:usb3="00000000" w:csb0="00000001" w:csb1="00000000"/>
  </w:font>
  <w:font w:name="Times">
    <w:altName w:val="Times New Roman"/>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330E" w14:textId="77777777" w:rsidR="00D4791C" w:rsidRDefault="00D4791C" w:rsidP="006302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B3181" w14:textId="18F0A0D9" w:rsidR="00D4791C" w:rsidRDefault="00000000" w:rsidP="009C23CA">
    <w:pPr>
      <w:pStyle w:val="Footer"/>
      <w:ind w:right="360"/>
    </w:pPr>
    <w:sdt>
      <w:sdtPr>
        <w:id w:val="969400743"/>
        <w:placeholder>
          <w:docPart w:val="61888E3E42968D49BE759FDD6792C632"/>
        </w:placeholder>
        <w:temporary/>
        <w:showingPlcHdr/>
      </w:sdtPr>
      <w:sdtContent>
        <w:r w:rsidR="00D4791C">
          <w:t>[Type text]</w:t>
        </w:r>
      </w:sdtContent>
    </w:sdt>
    <w:r w:rsidR="00D4791C">
      <w:ptab w:relativeTo="margin" w:alignment="center" w:leader="none"/>
    </w:r>
    <w:sdt>
      <w:sdtPr>
        <w:id w:val="969400748"/>
        <w:placeholder>
          <w:docPart w:val="B3EAC5DC3B0A47418D94CE36DD075699"/>
        </w:placeholder>
        <w:temporary/>
        <w:showingPlcHdr/>
      </w:sdtPr>
      <w:sdtContent>
        <w:r w:rsidR="00D4791C">
          <w:t>[Type text]</w:t>
        </w:r>
      </w:sdtContent>
    </w:sdt>
    <w:r w:rsidR="00D4791C">
      <w:ptab w:relativeTo="margin" w:alignment="right" w:leader="none"/>
    </w:r>
    <w:sdt>
      <w:sdtPr>
        <w:id w:val="969400753"/>
        <w:placeholder>
          <w:docPart w:val="FF3218877641A947ADDD80E0FBDD8DDB"/>
        </w:placeholder>
        <w:temporary/>
        <w:showingPlcHdr/>
      </w:sdtPr>
      <w:sdtContent>
        <w:r w:rsidR="00D4791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6BD7" w14:textId="524B7D83" w:rsidR="00D4791C" w:rsidRDefault="00D4791C" w:rsidP="006302E6">
    <w:pPr>
      <w:pStyle w:val="Footer"/>
      <w:framePr w:wrap="around" w:vAnchor="text" w:hAnchor="margin" w:xAlign="right" w:y="1"/>
      <w:rPr>
        <w:rStyle w:val="PageNumber"/>
      </w:rPr>
    </w:pPr>
    <w:r w:rsidRPr="0019358F">
      <w:rPr>
        <w:rStyle w:val="Strong"/>
        <w:rFonts w:ascii="Times New Roman" w:hAnsi="Times New Roman" w:cs="Times New Roman"/>
        <w:b w:val="0"/>
      </w:rPr>
      <w:t>Muñoz</w:t>
    </w: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F436F3">
      <w:rPr>
        <w:rStyle w:val="PageNumber"/>
        <w:noProof/>
      </w:rPr>
      <w:t>20</w:t>
    </w:r>
    <w:r>
      <w:rPr>
        <w:rStyle w:val="PageNumber"/>
      </w:rPr>
      <w:fldChar w:fldCharType="end"/>
    </w:r>
  </w:p>
  <w:p w14:paraId="22083D6D" w14:textId="6F2F707E" w:rsidR="00D4791C" w:rsidRDefault="00D4791C" w:rsidP="009C23CA">
    <w:pPr>
      <w:pStyle w:val="Footer"/>
      <w:ind w:right="360"/>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78E3" w14:textId="59E91653" w:rsidR="00D4791C" w:rsidRDefault="00D4791C" w:rsidP="006302E6">
    <w:pPr>
      <w:pStyle w:val="Footer"/>
      <w:framePr w:wrap="around" w:vAnchor="text" w:hAnchor="margin" w:xAlign="right" w:y="1"/>
      <w:rPr>
        <w:rStyle w:val="PageNumber"/>
      </w:rPr>
    </w:pPr>
    <w:r w:rsidRPr="0019358F">
      <w:rPr>
        <w:rStyle w:val="Strong"/>
        <w:rFonts w:ascii="Times New Roman" w:hAnsi="Times New Roman" w:cs="Times New Roman"/>
        <w:b w:val="0"/>
      </w:rPr>
      <w:t>Muñoz</w:t>
    </w: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F436F3">
      <w:rPr>
        <w:rStyle w:val="PageNumber"/>
        <w:noProof/>
      </w:rPr>
      <w:t>1</w:t>
    </w:r>
    <w:r>
      <w:rPr>
        <w:rStyle w:val="PageNumber"/>
      </w:rPr>
      <w:fldChar w:fldCharType="end"/>
    </w:r>
  </w:p>
  <w:p w14:paraId="22960A40" w14:textId="43A30773" w:rsidR="00D4791C" w:rsidRDefault="00D4791C" w:rsidP="009C23CA">
    <w:pPr>
      <w:pStyle w:val="Footer"/>
      <w:tabs>
        <w:tab w:val="clear" w:pos="4320"/>
        <w:tab w:val="clear" w:pos="8640"/>
        <w:tab w:val="left" w:pos="5553"/>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4693" w14:textId="77777777" w:rsidR="005F6561" w:rsidRDefault="005F6561" w:rsidP="002F4ED9">
      <w:r>
        <w:separator/>
      </w:r>
    </w:p>
  </w:footnote>
  <w:footnote w:type="continuationSeparator" w:id="0">
    <w:p w14:paraId="2604A49C" w14:textId="77777777" w:rsidR="005F6561" w:rsidRDefault="005F6561" w:rsidP="002F4ED9">
      <w:r>
        <w:continuationSeparator/>
      </w:r>
    </w:p>
  </w:footnote>
  <w:footnote w:id="1">
    <w:p w14:paraId="28104EBB" w14:textId="5135F323" w:rsidR="00D4791C" w:rsidRPr="00DD6272" w:rsidRDefault="00D4791C" w:rsidP="00DD6272">
      <w:pPr>
        <w:jc w:val="both"/>
        <w:rPr>
          <w:rFonts w:ascii="Times New Roman" w:hAnsi="Times New Roman" w:cs="Times New Roman"/>
          <w:sz w:val="20"/>
          <w:szCs w:val="20"/>
        </w:rPr>
      </w:pPr>
      <w:r w:rsidRPr="00DD6272">
        <w:rPr>
          <w:rStyle w:val="FootnoteReference"/>
          <w:rFonts w:ascii="Times New Roman" w:hAnsi="Times New Roman" w:cs="Times New Roman"/>
          <w:color w:val="000000" w:themeColor="text1"/>
          <w:sz w:val="20"/>
          <w:szCs w:val="20"/>
        </w:rPr>
        <w:footnoteRef/>
      </w:r>
      <w:r w:rsidRPr="00DD6272">
        <w:rPr>
          <w:rFonts w:ascii="Times New Roman" w:hAnsi="Times New Roman" w:cs="Times New Roman"/>
          <w:sz w:val="20"/>
          <w:szCs w:val="20"/>
        </w:rPr>
        <w:t xml:space="preserve"> Ruth Bader Ginsburg and Deborah</w:t>
      </w:r>
      <w:r>
        <w:rPr>
          <w:rFonts w:ascii="Times New Roman" w:hAnsi="Times New Roman" w:cs="Times New Roman"/>
          <w:sz w:val="20"/>
          <w:szCs w:val="20"/>
        </w:rPr>
        <w:t xml:space="preserve"> Jones Merritt, Fifty-First Car</w:t>
      </w:r>
      <w:r w:rsidRPr="00DD6272">
        <w:rPr>
          <w:rFonts w:ascii="Times New Roman" w:hAnsi="Times New Roman" w:cs="Times New Roman"/>
          <w:sz w:val="20"/>
          <w:szCs w:val="20"/>
        </w:rPr>
        <w:t>dozo Memorial Lecture Delivered at the House of the Association of the Bar of the City of New York: “Affirmative Action: An International Human Rights Doctrine” (February 11, 1999) (transcript available at 21Cardozo L. Rev. 253(1999))</w:t>
      </w:r>
    </w:p>
  </w:footnote>
  <w:footnote w:id="2">
    <w:p w14:paraId="617E5F2F" w14:textId="53BDA995" w:rsidR="00D4791C" w:rsidRPr="00DD6272" w:rsidRDefault="00D4791C" w:rsidP="00DD6272">
      <w:pPr>
        <w:jc w:val="both"/>
        <w:rPr>
          <w:rFonts w:ascii="Times New Roman" w:hAnsi="Times New Roman" w:cs="Times New Roman"/>
          <w:sz w:val="20"/>
          <w:szCs w:val="20"/>
        </w:rPr>
      </w:pPr>
      <w:r w:rsidRPr="00DD6272">
        <w:rPr>
          <w:rStyle w:val="FootnoteReference"/>
          <w:rFonts w:ascii="Times New Roman" w:hAnsi="Times New Roman" w:cs="Times New Roman"/>
          <w:color w:val="000000" w:themeColor="text1"/>
          <w:sz w:val="20"/>
          <w:szCs w:val="20"/>
        </w:rPr>
        <w:footnoteRef/>
      </w:r>
      <w:r w:rsidRPr="00DD6272">
        <w:rPr>
          <w:rFonts w:ascii="Times New Roman" w:hAnsi="Times New Roman" w:cs="Times New Roman"/>
          <w:sz w:val="20"/>
          <w:szCs w:val="20"/>
        </w:rPr>
        <w:t xml:space="preserve"> I assume, </w:t>
      </w:r>
      <w:r w:rsidRPr="00DD6272">
        <w:rPr>
          <w:rFonts w:ascii="Times New Roman" w:hAnsi="Times New Roman" w:cs="Times New Roman"/>
          <w:i/>
          <w:sz w:val="20"/>
          <w:szCs w:val="20"/>
        </w:rPr>
        <w:t>arguendo</w:t>
      </w:r>
      <w:r w:rsidRPr="00DD6272">
        <w:rPr>
          <w:rFonts w:ascii="Times New Roman" w:hAnsi="Times New Roman" w:cs="Times New Roman"/>
          <w:sz w:val="20"/>
          <w:szCs w:val="20"/>
        </w:rPr>
        <w:t>, that consistency with the international human rights regime is a positive aspect of a domestic legal system, while inc</w:t>
      </w:r>
      <w:r>
        <w:rPr>
          <w:rFonts w:ascii="Times New Roman" w:hAnsi="Times New Roman" w:cs="Times New Roman"/>
          <w:sz w:val="20"/>
          <w:szCs w:val="20"/>
        </w:rPr>
        <w:t>onsistency is a negative aspect</w:t>
      </w:r>
      <w:r w:rsidRPr="00DD6272">
        <w:rPr>
          <w:rFonts w:ascii="Times New Roman" w:hAnsi="Times New Roman" w:cs="Times New Roman"/>
          <w:sz w:val="20"/>
          <w:szCs w:val="20"/>
        </w:rPr>
        <w:t xml:space="preserve">. </w:t>
      </w:r>
      <w:r>
        <w:rPr>
          <w:rFonts w:ascii="Times New Roman" w:hAnsi="Times New Roman" w:cs="Times New Roman"/>
          <w:sz w:val="20"/>
          <w:szCs w:val="20"/>
        </w:rPr>
        <w:t>I will revisit this contention in Part IV.</w:t>
      </w:r>
    </w:p>
  </w:footnote>
  <w:footnote w:id="3">
    <w:p w14:paraId="57D684CB" w14:textId="5415A338" w:rsidR="00D4791C" w:rsidRPr="00DD6272" w:rsidRDefault="00D4791C" w:rsidP="00DD6272">
      <w:pPr>
        <w:jc w:val="both"/>
        <w:rPr>
          <w:rFonts w:ascii="Times New Roman" w:hAnsi="Times New Roman" w:cs="Times New Roman"/>
          <w:sz w:val="20"/>
          <w:szCs w:val="20"/>
        </w:rPr>
      </w:pPr>
      <w:r w:rsidRPr="00DD6272">
        <w:rPr>
          <w:rStyle w:val="FootnoteReference"/>
          <w:rFonts w:ascii="Times New Roman" w:hAnsi="Times New Roman" w:cs="Times New Roman"/>
          <w:color w:val="000000" w:themeColor="text1"/>
          <w:sz w:val="20"/>
          <w:szCs w:val="20"/>
        </w:rPr>
        <w:footnoteRef/>
      </w:r>
      <w:r w:rsidRPr="00DD6272">
        <w:rPr>
          <w:rFonts w:ascii="Times New Roman" w:hAnsi="Times New Roman" w:cs="Times New Roman"/>
          <w:sz w:val="20"/>
          <w:szCs w:val="20"/>
        </w:rPr>
        <w:t xml:space="preserve"> </w:t>
      </w:r>
      <w:r w:rsidRPr="00DD6272">
        <w:rPr>
          <w:rFonts w:ascii="Times New Roman" w:hAnsi="Times New Roman" w:cs="Times New Roman"/>
          <w:bCs/>
          <w:sz w:val="20"/>
          <w:szCs w:val="20"/>
        </w:rPr>
        <w:t xml:space="preserve">U. S. Const., </w:t>
      </w:r>
      <w:proofErr w:type="spellStart"/>
      <w:r w:rsidRPr="00DD6272">
        <w:rPr>
          <w:rFonts w:ascii="Times New Roman" w:hAnsi="Times New Roman" w:cs="Times New Roman"/>
          <w:bCs/>
          <w:sz w:val="20"/>
          <w:szCs w:val="20"/>
        </w:rPr>
        <w:t>Amdt</w:t>
      </w:r>
      <w:proofErr w:type="spellEnd"/>
      <w:r w:rsidRPr="00DD6272">
        <w:rPr>
          <w:rFonts w:ascii="Times New Roman" w:hAnsi="Times New Roman" w:cs="Times New Roman"/>
          <w:bCs/>
          <w:sz w:val="20"/>
          <w:szCs w:val="20"/>
        </w:rPr>
        <w:t>. 14, § 2.</w:t>
      </w:r>
    </w:p>
  </w:footnote>
  <w:footnote w:id="4">
    <w:p w14:paraId="0BC6E58B" w14:textId="77777777" w:rsidR="00D4791C" w:rsidRPr="00DD6272" w:rsidRDefault="00D4791C" w:rsidP="00DD6272">
      <w:pPr>
        <w:jc w:val="both"/>
        <w:rPr>
          <w:rFonts w:ascii="Times New Roman" w:hAnsi="Times New Roman" w:cs="Times New Roman"/>
          <w:sz w:val="20"/>
          <w:szCs w:val="20"/>
        </w:rPr>
      </w:pPr>
      <w:r w:rsidRPr="00DD6272">
        <w:rPr>
          <w:rStyle w:val="FootnoteReference"/>
          <w:rFonts w:ascii="Times New Roman" w:hAnsi="Times New Roman" w:cs="Times New Roman"/>
          <w:color w:val="000000" w:themeColor="text1"/>
          <w:sz w:val="20"/>
          <w:szCs w:val="20"/>
        </w:rPr>
        <w:footnoteRef/>
      </w:r>
      <w:r w:rsidRPr="00DD6272">
        <w:rPr>
          <w:rFonts w:ascii="Times New Roman" w:hAnsi="Times New Roman" w:cs="Times New Roman"/>
          <w:sz w:val="20"/>
          <w:szCs w:val="20"/>
        </w:rPr>
        <w:t xml:space="preserve"> </w:t>
      </w:r>
      <w:proofErr w:type="spellStart"/>
      <w:r w:rsidRPr="00DD6272">
        <w:rPr>
          <w:rFonts w:ascii="Times New Roman" w:hAnsi="Times New Roman" w:cs="Times New Roman"/>
          <w:sz w:val="20"/>
          <w:szCs w:val="20"/>
          <w:u w:val="single"/>
        </w:rPr>
        <w:t>Adarand</w:t>
      </w:r>
      <w:proofErr w:type="spellEnd"/>
      <w:r w:rsidRPr="00DD6272">
        <w:rPr>
          <w:rFonts w:ascii="Times New Roman" w:hAnsi="Times New Roman" w:cs="Times New Roman"/>
          <w:sz w:val="20"/>
          <w:szCs w:val="20"/>
          <w:u w:val="single"/>
        </w:rPr>
        <w:t xml:space="preserve"> Constructors, Inc. v. Pena</w:t>
      </w:r>
      <w:r w:rsidRPr="00DD6272">
        <w:rPr>
          <w:rFonts w:ascii="Times New Roman" w:hAnsi="Times New Roman" w:cs="Times New Roman"/>
          <w:sz w:val="20"/>
          <w:szCs w:val="20"/>
        </w:rPr>
        <w:t>, 515 U. S. 200, 227 (1995).</w:t>
      </w:r>
    </w:p>
  </w:footnote>
  <w:footnote w:id="5">
    <w:p w14:paraId="5055A0CE" w14:textId="696713B7" w:rsidR="00D4791C" w:rsidRPr="00DD6272" w:rsidRDefault="00D4791C" w:rsidP="00DD6272">
      <w:pPr>
        <w:jc w:val="both"/>
        <w:rPr>
          <w:rFonts w:ascii="Times New Roman" w:eastAsia="Times New Roman" w:hAnsi="Times New Roman" w:cs="Times New Roman"/>
          <w:sz w:val="20"/>
          <w:szCs w:val="20"/>
        </w:rPr>
      </w:pPr>
      <w:r w:rsidRPr="00DD6272">
        <w:rPr>
          <w:rStyle w:val="FootnoteReference"/>
          <w:rFonts w:ascii="Times New Roman" w:hAnsi="Times New Roman" w:cs="Times New Roman"/>
          <w:color w:val="000000" w:themeColor="text1"/>
          <w:sz w:val="20"/>
          <w:szCs w:val="20"/>
        </w:rPr>
        <w:footnoteRef/>
      </w:r>
      <w:r w:rsidRPr="00DD6272">
        <w:rPr>
          <w:rFonts w:ascii="Times New Roman" w:hAnsi="Times New Roman" w:cs="Times New Roman"/>
          <w:sz w:val="20"/>
          <w:szCs w:val="20"/>
        </w:rPr>
        <w:t xml:space="preserve"> </w:t>
      </w:r>
      <w:r w:rsidRPr="00DD6272">
        <w:rPr>
          <w:rFonts w:ascii="Times New Roman" w:hAnsi="Times New Roman" w:cs="Times New Roman"/>
          <w:sz w:val="20"/>
          <w:szCs w:val="20"/>
          <w:u w:val="single"/>
        </w:rPr>
        <w:t>Grutter v. Bollinger</w:t>
      </w:r>
      <w:r w:rsidRPr="00DD6272">
        <w:rPr>
          <w:rFonts w:ascii="Times New Roman" w:hAnsi="Times New Roman" w:cs="Times New Roman"/>
          <w:sz w:val="20"/>
          <w:szCs w:val="20"/>
        </w:rPr>
        <w:t>, 539 U.S. 306, 326 (2003) (“Grutter”).</w:t>
      </w:r>
    </w:p>
  </w:footnote>
  <w:footnote w:id="6">
    <w:p w14:paraId="44D2D830" w14:textId="25C34C10" w:rsidR="00D4791C" w:rsidRPr="009F032D" w:rsidRDefault="00D4791C" w:rsidP="00DD6272">
      <w:pPr>
        <w:jc w:val="both"/>
      </w:pPr>
      <w:r w:rsidRPr="00DD6272">
        <w:rPr>
          <w:rStyle w:val="FootnoteReference"/>
          <w:rFonts w:ascii="Times New Roman" w:hAnsi="Times New Roman" w:cs="Times New Roman"/>
          <w:color w:val="000000" w:themeColor="text1"/>
          <w:sz w:val="20"/>
          <w:szCs w:val="20"/>
        </w:rPr>
        <w:footnoteRef/>
      </w:r>
      <w:r w:rsidRPr="00DD6272">
        <w:rPr>
          <w:rFonts w:ascii="Times New Roman" w:hAnsi="Times New Roman" w:cs="Times New Roman"/>
          <w:sz w:val="20"/>
          <w:szCs w:val="20"/>
        </w:rPr>
        <w:t xml:space="preserve"> </w:t>
      </w:r>
      <w:r w:rsidRPr="00DD6272">
        <w:rPr>
          <w:rFonts w:ascii="Times New Roman" w:hAnsi="Times New Roman" w:cs="Times New Roman"/>
          <w:sz w:val="20"/>
          <w:szCs w:val="20"/>
          <w:u w:val="single"/>
        </w:rPr>
        <w:t>Grutter</w:t>
      </w:r>
      <w:r w:rsidRPr="00DD6272">
        <w:rPr>
          <w:rFonts w:ascii="Times New Roman" w:hAnsi="Times New Roman" w:cs="Times New Roman"/>
          <w:sz w:val="20"/>
          <w:szCs w:val="20"/>
        </w:rPr>
        <w:t xml:space="preserve"> at 316.</w:t>
      </w:r>
      <w:r w:rsidRPr="009F032D">
        <w:t xml:space="preserve"> </w:t>
      </w:r>
    </w:p>
  </w:footnote>
  <w:footnote w:id="7">
    <w:p w14:paraId="5C445395" w14:textId="663CCE43" w:rsidR="00D4791C" w:rsidRPr="009F032D" w:rsidRDefault="00D4791C" w:rsidP="009F032D">
      <w:pPr>
        <w:pStyle w:val="FootnoteText"/>
        <w:jc w:val="both"/>
        <w:rPr>
          <w:rFonts w:ascii="Times New Roman" w:hAnsi="Times New Roman" w:cs="Times New Roman"/>
          <w:sz w:val="20"/>
          <w:szCs w:val="20"/>
        </w:rPr>
      </w:pPr>
      <w:r w:rsidRPr="009F032D">
        <w:rPr>
          <w:rStyle w:val="FootnoteReference"/>
          <w:rFonts w:ascii="Times New Roman" w:hAnsi="Times New Roman" w:cs="Times New Roman"/>
          <w:sz w:val="20"/>
          <w:szCs w:val="20"/>
        </w:rPr>
        <w:footnoteRef/>
      </w:r>
      <w:r w:rsidRPr="009F032D">
        <w:rPr>
          <w:rFonts w:ascii="Times New Roman" w:hAnsi="Times New Roman" w:cs="Times New Roman"/>
          <w:sz w:val="20"/>
          <w:szCs w:val="20"/>
        </w:rPr>
        <w:t xml:space="preserve"> </w:t>
      </w:r>
      <w:r w:rsidRPr="004552F1">
        <w:rPr>
          <w:rFonts w:ascii="Times New Roman" w:hAnsi="Times New Roman" w:cs="Times New Roman"/>
          <w:sz w:val="20"/>
          <w:szCs w:val="20"/>
          <w:u w:val="single"/>
        </w:rPr>
        <w:t>Grutter</w:t>
      </w:r>
      <w:r w:rsidRPr="009F032D">
        <w:rPr>
          <w:rFonts w:ascii="Times New Roman" w:hAnsi="Times New Roman" w:cs="Times New Roman"/>
          <w:sz w:val="20"/>
          <w:szCs w:val="20"/>
        </w:rPr>
        <w:t xml:space="preserve"> at 315 (quotations omitted). </w:t>
      </w:r>
    </w:p>
  </w:footnote>
  <w:footnote w:id="8">
    <w:p w14:paraId="2E1FF757" w14:textId="7C1BE88F" w:rsidR="00D4791C" w:rsidRPr="00742980" w:rsidRDefault="00D4791C" w:rsidP="009F032D">
      <w:pPr>
        <w:pStyle w:val="FootnoteText"/>
        <w:jc w:val="both"/>
        <w:rPr>
          <w:rFonts w:ascii="Times New Roman" w:hAnsi="Times New Roman" w:cs="Times New Roman"/>
          <w:sz w:val="20"/>
          <w:szCs w:val="20"/>
        </w:rPr>
      </w:pPr>
      <w:r w:rsidRPr="009F032D">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at 316 (quotations omitted).</w:t>
      </w:r>
    </w:p>
  </w:footnote>
  <w:footnote w:id="9">
    <w:p w14:paraId="5EFA5AFD" w14:textId="0F8C9735" w:rsidR="00D4791C" w:rsidRPr="00742980" w:rsidRDefault="00D4791C" w:rsidP="00D23678">
      <w:pPr>
        <w:pStyle w:val="FootnoteText"/>
        <w:jc w:val="both"/>
        <w:rPr>
          <w:rFonts w:ascii="Times New Roman" w:hAnsi="Times New Roman" w:cs="Times New Roman"/>
          <w:sz w:val="20"/>
          <w:szCs w:val="20"/>
        </w:rPr>
      </w:pPr>
      <w:r w:rsidRPr="00742980">
        <w:rPr>
          <w:rStyle w:val="FootnoteReference"/>
          <w:rFonts w:ascii="Times New Roman" w:hAnsi="Times New Roman" w:cs="Times New Roman"/>
          <w:sz w:val="20"/>
          <w:szCs w:val="20"/>
        </w:rPr>
        <w:footnoteRef/>
      </w:r>
      <w:r w:rsidRPr="00742980">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742980">
        <w:rPr>
          <w:rFonts w:ascii="Times New Roman" w:hAnsi="Times New Roman" w:cs="Times New Roman"/>
          <w:sz w:val="20"/>
          <w:szCs w:val="20"/>
        </w:rPr>
        <w:t xml:space="preserve"> at 316 (quotations omitted).</w:t>
      </w:r>
    </w:p>
  </w:footnote>
  <w:footnote w:id="10">
    <w:p w14:paraId="4A0831D2" w14:textId="34A67531" w:rsidR="00D4791C" w:rsidRPr="00742980" w:rsidRDefault="00D4791C" w:rsidP="00D23678">
      <w:pPr>
        <w:pStyle w:val="FootnoteText"/>
        <w:jc w:val="both"/>
        <w:rPr>
          <w:rFonts w:ascii="Times New Roman" w:hAnsi="Times New Roman" w:cs="Times New Roman"/>
          <w:sz w:val="20"/>
          <w:szCs w:val="20"/>
        </w:rPr>
      </w:pPr>
      <w:r w:rsidRPr="00742980">
        <w:rPr>
          <w:rStyle w:val="FootnoteReference"/>
          <w:rFonts w:ascii="Times New Roman" w:hAnsi="Times New Roman" w:cs="Times New Roman"/>
          <w:sz w:val="20"/>
          <w:szCs w:val="20"/>
        </w:rPr>
        <w:footnoteRef/>
      </w:r>
      <w:r w:rsidRPr="00742980">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w:t>
      </w:r>
      <w:r w:rsidRPr="00742980">
        <w:rPr>
          <w:rFonts w:ascii="Times New Roman" w:hAnsi="Times New Roman" w:cs="Times New Roman"/>
          <w:sz w:val="20"/>
          <w:szCs w:val="20"/>
        </w:rPr>
        <w:t>at 328. The Court actually defers here to the school’s judgment that diversity is essen</w:t>
      </w:r>
      <w:r>
        <w:rPr>
          <w:rFonts w:ascii="Times New Roman" w:hAnsi="Times New Roman" w:cs="Times New Roman"/>
          <w:sz w:val="20"/>
          <w:szCs w:val="20"/>
        </w:rPr>
        <w:t>tial to its educational mission, because “u</w:t>
      </w:r>
      <w:r w:rsidRPr="00742980">
        <w:rPr>
          <w:rFonts w:ascii="Times New Roman" w:hAnsi="Times New Roman" w:cs="Times New Roman"/>
          <w:sz w:val="20"/>
          <w:szCs w:val="20"/>
        </w:rPr>
        <w:t xml:space="preserve">niversities occupy a special niche in our constitutional tradition.”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742980">
        <w:rPr>
          <w:rFonts w:ascii="Times New Roman" w:hAnsi="Times New Roman" w:cs="Times New Roman"/>
          <w:sz w:val="20"/>
          <w:szCs w:val="20"/>
        </w:rPr>
        <w:t xml:space="preserve"> at 329.</w:t>
      </w:r>
      <w:r>
        <w:rPr>
          <w:rFonts w:ascii="Times New Roman" w:hAnsi="Times New Roman" w:cs="Times New Roman"/>
          <w:sz w:val="20"/>
          <w:szCs w:val="20"/>
        </w:rPr>
        <w:t xml:space="preserve"> In other words, the holding that diversity is a compelling government interest is restricted to the higher education context. </w:t>
      </w:r>
    </w:p>
  </w:footnote>
  <w:footnote w:id="11">
    <w:p w14:paraId="4D4620AF" w14:textId="084580FA" w:rsidR="00D4791C" w:rsidRPr="00742980" w:rsidRDefault="00D4791C" w:rsidP="00D23678">
      <w:pPr>
        <w:pStyle w:val="FootnoteText"/>
        <w:jc w:val="both"/>
        <w:rPr>
          <w:rFonts w:ascii="Times New Roman" w:hAnsi="Times New Roman" w:cs="Times New Roman"/>
          <w:sz w:val="20"/>
          <w:szCs w:val="20"/>
        </w:rPr>
      </w:pPr>
      <w:r w:rsidRPr="00742980">
        <w:rPr>
          <w:rStyle w:val="FootnoteReference"/>
          <w:rFonts w:ascii="Times New Roman" w:hAnsi="Times New Roman" w:cs="Times New Roman"/>
          <w:sz w:val="20"/>
          <w:szCs w:val="20"/>
        </w:rPr>
        <w:footnoteRef/>
      </w:r>
      <w:r w:rsidRPr="00742980">
        <w:rPr>
          <w:rFonts w:ascii="Times New Roman" w:hAnsi="Times New Roman" w:cs="Times New Roman"/>
          <w:sz w:val="20"/>
          <w:szCs w:val="20"/>
        </w:rPr>
        <w:t xml:space="preserve"> </w:t>
      </w:r>
      <w:r>
        <w:rPr>
          <w:rFonts w:ascii="Times New Roman" w:hAnsi="Times New Roman" w:cs="Times New Roman"/>
          <w:sz w:val="20"/>
          <w:szCs w:val="20"/>
          <w:u w:val="single"/>
        </w:rPr>
        <w:t>Grutter</w:t>
      </w:r>
      <w:r w:rsidRPr="009F032D">
        <w:rPr>
          <w:rFonts w:ascii="Times New Roman" w:hAnsi="Times New Roman" w:cs="Times New Roman"/>
          <w:sz w:val="20"/>
          <w:szCs w:val="20"/>
        </w:rPr>
        <w:t xml:space="preserve"> </w:t>
      </w:r>
      <w:r w:rsidRPr="00742980">
        <w:rPr>
          <w:rFonts w:ascii="Times New Roman" w:hAnsi="Times New Roman" w:cs="Times New Roman"/>
          <w:sz w:val="20"/>
          <w:szCs w:val="20"/>
        </w:rPr>
        <w:t xml:space="preserve">at 329. </w:t>
      </w:r>
    </w:p>
  </w:footnote>
  <w:footnote w:id="12">
    <w:p w14:paraId="24870DBA" w14:textId="2041D065" w:rsidR="00D4791C" w:rsidRPr="00742980" w:rsidRDefault="00D4791C" w:rsidP="00D23678">
      <w:pPr>
        <w:pStyle w:val="FootnoteText"/>
        <w:jc w:val="both"/>
        <w:rPr>
          <w:rFonts w:ascii="Times New Roman" w:hAnsi="Times New Roman" w:cs="Times New Roman"/>
          <w:sz w:val="20"/>
          <w:szCs w:val="20"/>
        </w:rPr>
      </w:pPr>
      <w:r w:rsidRPr="00742980">
        <w:rPr>
          <w:rStyle w:val="FootnoteReference"/>
          <w:rFonts w:ascii="Times New Roman" w:hAnsi="Times New Roman" w:cs="Times New Roman"/>
          <w:sz w:val="20"/>
          <w:szCs w:val="20"/>
        </w:rPr>
        <w:footnoteRef/>
      </w:r>
      <w:r w:rsidRPr="00742980">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w:t>
      </w:r>
      <w:r w:rsidRPr="00742980">
        <w:rPr>
          <w:rFonts w:ascii="Times New Roman" w:hAnsi="Times New Roman" w:cs="Times New Roman"/>
          <w:sz w:val="20"/>
          <w:szCs w:val="20"/>
        </w:rPr>
        <w:t xml:space="preserve">at 330. </w:t>
      </w:r>
    </w:p>
  </w:footnote>
  <w:footnote w:id="13">
    <w:p w14:paraId="41D37918" w14:textId="311926D2" w:rsidR="00D4791C" w:rsidRDefault="00D4791C" w:rsidP="00D23678">
      <w:pPr>
        <w:pStyle w:val="FootnoteText"/>
        <w:jc w:val="both"/>
      </w:pPr>
      <w:r w:rsidRPr="00742980">
        <w:rPr>
          <w:rStyle w:val="FootnoteReference"/>
          <w:rFonts w:ascii="Times New Roman" w:hAnsi="Times New Roman" w:cs="Times New Roman"/>
          <w:sz w:val="20"/>
          <w:szCs w:val="20"/>
        </w:rPr>
        <w:footnoteRef/>
      </w:r>
      <w:r w:rsidRPr="00742980">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w:t>
      </w:r>
      <w:r w:rsidRPr="00742980">
        <w:rPr>
          <w:rFonts w:ascii="Times New Roman" w:hAnsi="Times New Roman" w:cs="Times New Roman"/>
          <w:sz w:val="20"/>
          <w:szCs w:val="20"/>
        </w:rPr>
        <w:t xml:space="preserve">at 330. </w:t>
      </w:r>
    </w:p>
  </w:footnote>
  <w:footnote w:id="14">
    <w:p w14:paraId="4CE083D5" w14:textId="020B32DE" w:rsidR="00D4791C" w:rsidRPr="00314EF1" w:rsidRDefault="00D4791C" w:rsidP="00314EF1">
      <w:pPr>
        <w:pStyle w:val="FootnoteText"/>
        <w:jc w:val="both"/>
        <w:rPr>
          <w:rFonts w:ascii="Times New Roman" w:hAnsi="Times New Roman" w:cs="Times New Roman"/>
          <w:sz w:val="20"/>
          <w:szCs w:val="20"/>
        </w:rPr>
      </w:pPr>
      <w:r w:rsidRPr="00314EF1">
        <w:rPr>
          <w:rStyle w:val="FootnoteReference"/>
          <w:rFonts w:ascii="Times New Roman" w:hAnsi="Times New Roman" w:cs="Times New Roman"/>
          <w:sz w:val="20"/>
          <w:szCs w:val="20"/>
        </w:rPr>
        <w:footnoteRef/>
      </w:r>
      <w:r w:rsidRPr="00314EF1">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w:t>
      </w:r>
      <w:r w:rsidRPr="00314EF1">
        <w:rPr>
          <w:rFonts w:ascii="Times New Roman" w:hAnsi="Times New Roman" w:cs="Times New Roman"/>
          <w:sz w:val="20"/>
          <w:szCs w:val="20"/>
        </w:rPr>
        <w:t>at 333 (internal quotation marks and citation omitted).</w:t>
      </w:r>
    </w:p>
  </w:footnote>
  <w:footnote w:id="15">
    <w:p w14:paraId="1D6B26C3" w14:textId="00E6E1F2" w:rsidR="00D4791C" w:rsidRPr="00314EF1" w:rsidRDefault="00D4791C" w:rsidP="00314EF1">
      <w:pPr>
        <w:pStyle w:val="FootnoteText"/>
        <w:jc w:val="both"/>
        <w:rPr>
          <w:rFonts w:ascii="Times New Roman" w:hAnsi="Times New Roman" w:cs="Times New Roman"/>
          <w:sz w:val="20"/>
          <w:szCs w:val="20"/>
        </w:rPr>
      </w:pPr>
      <w:r w:rsidRPr="00314EF1">
        <w:rPr>
          <w:rStyle w:val="FootnoteReference"/>
          <w:rFonts w:ascii="Times New Roman" w:hAnsi="Times New Roman" w:cs="Times New Roman"/>
          <w:sz w:val="20"/>
          <w:szCs w:val="20"/>
        </w:rPr>
        <w:footnoteRef/>
      </w:r>
      <w:r w:rsidRPr="00314EF1">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w:t>
      </w:r>
      <w:r w:rsidRPr="00314EF1">
        <w:rPr>
          <w:rFonts w:ascii="Times New Roman" w:hAnsi="Times New Roman" w:cs="Times New Roman"/>
          <w:sz w:val="20"/>
          <w:szCs w:val="20"/>
        </w:rPr>
        <w:t>at 333 (internal quotation marks and citation omitted).</w:t>
      </w:r>
    </w:p>
  </w:footnote>
  <w:footnote w:id="16">
    <w:p w14:paraId="04C5CE40" w14:textId="2B6B6AE7" w:rsidR="00D4791C" w:rsidRPr="00314EF1" w:rsidRDefault="00D4791C" w:rsidP="00314EF1">
      <w:pPr>
        <w:pStyle w:val="FootnoteText"/>
        <w:jc w:val="both"/>
        <w:rPr>
          <w:rFonts w:ascii="Times New Roman" w:hAnsi="Times New Roman" w:cs="Times New Roman"/>
          <w:sz w:val="20"/>
          <w:szCs w:val="20"/>
        </w:rPr>
      </w:pPr>
      <w:r w:rsidRPr="00314EF1">
        <w:rPr>
          <w:rStyle w:val="FootnoteReference"/>
          <w:rFonts w:ascii="Times New Roman" w:hAnsi="Times New Roman" w:cs="Times New Roman"/>
          <w:sz w:val="20"/>
          <w:szCs w:val="20"/>
        </w:rPr>
        <w:footnoteRef/>
      </w:r>
      <w:r w:rsidRPr="00314EF1">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w:t>
      </w:r>
      <w:r w:rsidRPr="00314EF1">
        <w:rPr>
          <w:rFonts w:ascii="Times New Roman" w:hAnsi="Times New Roman" w:cs="Times New Roman"/>
          <w:sz w:val="20"/>
          <w:szCs w:val="20"/>
        </w:rPr>
        <w:t>at 334 (internal quotation marks and citations omitted).</w:t>
      </w:r>
    </w:p>
  </w:footnote>
  <w:footnote w:id="17">
    <w:p w14:paraId="2E73787E" w14:textId="3824EB07" w:rsidR="00D4791C" w:rsidRPr="00314EF1" w:rsidRDefault="00D4791C" w:rsidP="00314EF1">
      <w:pPr>
        <w:pStyle w:val="FootnoteText"/>
        <w:jc w:val="both"/>
        <w:rPr>
          <w:rFonts w:ascii="Times New Roman" w:hAnsi="Times New Roman" w:cs="Times New Roman"/>
          <w:sz w:val="20"/>
          <w:szCs w:val="20"/>
        </w:rPr>
      </w:pPr>
      <w:r w:rsidRPr="00314EF1">
        <w:rPr>
          <w:rStyle w:val="FootnoteReference"/>
          <w:rFonts w:ascii="Times New Roman" w:hAnsi="Times New Roman" w:cs="Times New Roman"/>
          <w:sz w:val="20"/>
          <w:szCs w:val="20"/>
        </w:rPr>
        <w:footnoteRef/>
      </w:r>
      <w:r w:rsidRPr="00314EF1">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w:t>
      </w:r>
      <w:r w:rsidRPr="00314EF1">
        <w:rPr>
          <w:rFonts w:ascii="Times New Roman" w:hAnsi="Times New Roman" w:cs="Times New Roman"/>
          <w:sz w:val="20"/>
          <w:szCs w:val="20"/>
        </w:rPr>
        <w:t xml:space="preserve">at 337. </w:t>
      </w:r>
    </w:p>
  </w:footnote>
  <w:footnote w:id="18">
    <w:p w14:paraId="562A8A83" w14:textId="222F9A59" w:rsidR="00D4791C" w:rsidRPr="00314EF1" w:rsidRDefault="00D4791C" w:rsidP="00314EF1">
      <w:pPr>
        <w:pStyle w:val="FootnoteText"/>
        <w:jc w:val="both"/>
        <w:rPr>
          <w:rFonts w:ascii="Times New Roman" w:hAnsi="Times New Roman" w:cs="Times New Roman"/>
          <w:sz w:val="20"/>
          <w:szCs w:val="20"/>
        </w:rPr>
      </w:pPr>
      <w:r w:rsidRPr="00314EF1">
        <w:rPr>
          <w:rStyle w:val="FootnoteReference"/>
          <w:rFonts w:ascii="Times New Roman" w:hAnsi="Times New Roman" w:cs="Times New Roman"/>
          <w:sz w:val="20"/>
          <w:szCs w:val="20"/>
        </w:rPr>
        <w:footnoteRef/>
      </w:r>
      <w:r w:rsidRPr="00314EF1">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w:t>
      </w:r>
      <w:r w:rsidRPr="00314EF1">
        <w:rPr>
          <w:rFonts w:ascii="Times New Roman" w:hAnsi="Times New Roman" w:cs="Times New Roman"/>
          <w:sz w:val="20"/>
          <w:szCs w:val="20"/>
        </w:rPr>
        <w:t xml:space="preserve">at 335. </w:t>
      </w:r>
    </w:p>
  </w:footnote>
  <w:footnote w:id="19">
    <w:p w14:paraId="46BD05F5" w14:textId="2E390A69" w:rsidR="00D4791C" w:rsidRPr="00314EF1" w:rsidRDefault="00D4791C" w:rsidP="00314EF1">
      <w:pPr>
        <w:pStyle w:val="FootnoteText"/>
        <w:jc w:val="both"/>
        <w:rPr>
          <w:rFonts w:ascii="Times New Roman" w:hAnsi="Times New Roman" w:cs="Times New Roman"/>
          <w:sz w:val="20"/>
          <w:szCs w:val="20"/>
        </w:rPr>
      </w:pPr>
      <w:r w:rsidRPr="00314EF1">
        <w:rPr>
          <w:rStyle w:val="FootnoteReference"/>
          <w:rFonts w:ascii="Times New Roman" w:hAnsi="Times New Roman" w:cs="Times New Roman"/>
          <w:sz w:val="20"/>
          <w:szCs w:val="20"/>
        </w:rPr>
        <w:footnoteRef/>
      </w:r>
      <w:r w:rsidRPr="00314EF1">
        <w:rPr>
          <w:rFonts w:ascii="Times New Roman" w:hAnsi="Times New Roman" w:cs="Times New Roman"/>
          <w:sz w:val="20"/>
          <w:szCs w:val="20"/>
        </w:rPr>
        <w:t xml:space="preserve"> </w:t>
      </w:r>
      <w:r>
        <w:rPr>
          <w:rFonts w:ascii="Times New Roman" w:hAnsi="Times New Roman" w:cs="Times New Roman"/>
          <w:sz w:val="20"/>
          <w:szCs w:val="20"/>
          <w:u w:val="single"/>
        </w:rPr>
        <w:t>Grutter</w:t>
      </w:r>
      <w:r w:rsidRPr="009F032D">
        <w:rPr>
          <w:rFonts w:ascii="Times New Roman" w:hAnsi="Times New Roman" w:cs="Times New Roman"/>
          <w:sz w:val="20"/>
          <w:szCs w:val="20"/>
        </w:rPr>
        <w:t xml:space="preserve"> </w:t>
      </w:r>
      <w:r w:rsidRPr="00314EF1">
        <w:rPr>
          <w:rFonts w:ascii="Times New Roman" w:hAnsi="Times New Roman" w:cs="Times New Roman"/>
          <w:sz w:val="20"/>
          <w:szCs w:val="20"/>
        </w:rPr>
        <w:t>at 334 (internal quotation marks and citations omitted).</w:t>
      </w:r>
    </w:p>
  </w:footnote>
  <w:footnote w:id="20">
    <w:p w14:paraId="1D7E87E2" w14:textId="071BD513" w:rsidR="00D4791C" w:rsidRPr="00314EF1" w:rsidRDefault="00D4791C" w:rsidP="00314EF1">
      <w:pPr>
        <w:pStyle w:val="FootnoteText"/>
        <w:jc w:val="both"/>
        <w:rPr>
          <w:rFonts w:ascii="Times New Roman" w:hAnsi="Times New Roman" w:cs="Times New Roman"/>
          <w:sz w:val="20"/>
          <w:szCs w:val="20"/>
        </w:rPr>
      </w:pPr>
      <w:r w:rsidRPr="00314EF1">
        <w:rPr>
          <w:rStyle w:val="FootnoteReference"/>
          <w:rFonts w:ascii="Times New Roman" w:hAnsi="Times New Roman" w:cs="Times New Roman"/>
          <w:sz w:val="20"/>
          <w:szCs w:val="20"/>
        </w:rPr>
        <w:footnoteRef/>
      </w:r>
      <w:r w:rsidRPr="00314EF1">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w:t>
      </w:r>
      <w:r w:rsidRPr="00314EF1">
        <w:rPr>
          <w:rFonts w:ascii="Times New Roman" w:hAnsi="Times New Roman" w:cs="Times New Roman"/>
          <w:sz w:val="20"/>
          <w:szCs w:val="20"/>
        </w:rPr>
        <w:t xml:space="preserve">at 334. </w:t>
      </w:r>
    </w:p>
  </w:footnote>
  <w:footnote w:id="21">
    <w:p w14:paraId="440F107F" w14:textId="7B6B4A3C" w:rsidR="00D4791C" w:rsidRPr="00314EF1" w:rsidRDefault="00D4791C" w:rsidP="00314EF1">
      <w:pPr>
        <w:pStyle w:val="FootnoteText"/>
        <w:jc w:val="both"/>
        <w:rPr>
          <w:rFonts w:ascii="Times New Roman" w:hAnsi="Times New Roman" w:cs="Times New Roman"/>
          <w:sz w:val="20"/>
          <w:szCs w:val="20"/>
        </w:rPr>
      </w:pPr>
      <w:r w:rsidRPr="00314EF1">
        <w:rPr>
          <w:rStyle w:val="FootnoteReference"/>
          <w:rFonts w:ascii="Times New Roman" w:hAnsi="Times New Roman" w:cs="Times New Roman"/>
          <w:sz w:val="20"/>
          <w:szCs w:val="20"/>
        </w:rPr>
        <w:footnoteRef/>
      </w:r>
      <w:r w:rsidRPr="00314EF1">
        <w:rPr>
          <w:rFonts w:ascii="Times New Roman" w:hAnsi="Times New Roman" w:cs="Times New Roman"/>
          <w:sz w:val="20"/>
          <w:szCs w:val="20"/>
        </w:rPr>
        <w:t xml:space="preserve"> </w:t>
      </w:r>
      <w:r w:rsidRPr="004552F1">
        <w:rPr>
          <w:rFonts w:ascii="Times New Roman" w:hAnsi="Times New Roman" w:cs="Times New Roman"/>
          <w:sz w:val="20"/>
          <w:szCs w:val="20"/>
          <w:u w:val="single"/>
        </w:rPr>
        <w:t>Id</w:t>
      </w:r>
      <w:r>
        <w:rPr>
          <w:rFonts w:ascii="Times New Roman" w:hAnsi="Times New Roman" w:cs="Times New Roman"/>
          <w:sz w:val="20"/>
          <w:szCs w:val="20"/>
        </w:rPr>
        <w:t>.</w:t>
      </w:r>
      <w:r w:rsidRPr="009F032D">
        <w:rPr>
          <w:rFonts w:ascii="Times New Roman" w:hAnsi="Times New Roman" w:cs="Times New Roman"/>
          <w:sz w:val="20"/>
          <w:szCs w:val="20"/>
        </w:rPr>
        <w:t xml:space="preserve"> </w:t>
      </w:r>
      <w:r w:rsidRPr="00314EF1">
        <w:rPr>
          <w:rFonts w:ascii="Times New Roman" w:hAnsi="Times New Roman" w:cs="Times New Roman"/>
          <w:sz w:val="20"/>
          <w:szCs w:val="20"/>
        </w:rPr>
        <w:t xml:space="preserve">at 335. </w:t>
      </w:r>
    </w:p>
  </w:footnote>
  <w:footnote w:id="22">
    <w:p w14:paraId="13925C04" w14:textId="69F6E26A" w:rsidR="00D4791C" w:rsidRPr="00314EF1" w:rsidRDefault="00D4791C" w:rsidP="00314EF1">
      <w:pPr>
        <w:pStyle w:val="FootnoteText"/>
        <w:jc w:val="both"/>
        <w:rPr>
          <w:rFonts w:ascii="Times New Roman" w:hAnsi="Times New Roman" w:cs="Times New Roman"/>
          <w:sz w:val="20"/>
          <w:szCs w:val="20"/>
        </w:rPr>
      </w:pPr>
      <w:r w:rsidRPr="00314EF1">
        <w:rPr>
          <w:rStyle w:val="FootnoteReference"/>
          <w:rFonts w:ascii="Times New Roman" w:hAnsi="Times New Roman" w:cs="Times New Roman"/>
          <w:sz w:val="20"/>
          <w:szCs w:val="20"/>
        </w:rPr>
        <w:footnoteRef/>
      </w:r>
      <w:r w:rsidRPr="00314EF1">
        <w:rPr>
          <w:rFonts w:ascii="Times New Roman" w:hAnsi="Times New Roman" w:cs="Times New Roman"/>
          <w:sz w:val="20"/>
          <w:szCs w:val="20"/>
        </w:rPr>
        <w:t xml:space="preserve"> </w:t>
      </w:r>
      <w:r w:rsidRPr="00595160">
        <w:rPr>
          <w:rFonts w:ascii="Times New Roman" w:hAnsi="Times New Roman" w:cs="Times New Roman"/>
          <w:sz w:val="20"/>
          <w:szCs w:val="20"/>
          <w:u w:val="single"/>
        </w:rPr>
        <w:t>Id</w:t>
      </w:r>
      <w:r>
        <w:rPr>
          <w:rFonts w:ascii="Times New Roman" w:hAnsi="Times New Roman" w:cs="Times New Roman"/>
          <w:sz w:val="20"/>
          <w:szCs w:val="20"/>
        </w:rPr>
        <w:t xml:space="preserve">. </w:t>
      </w:r>
      <w:r w:rsidRPr="00595160">
        <w:rPr>
          <w:rFonts w:ascii="Times New Roman" w:hAnsi="Times New Roman" w:cs="Times New Roman"/>
          <w:sz w:val="20"/>
          <w:szCs w:val="20"/>
        </w:rPr>
        <w:t>at</w:t>
      </w:r>
      <w:r w:rsidRPr="00314EF1">
        <w:rPr>
          <w:rFonts w:ascii="Times New Roman" w:hAnsi="Times New Roman" w:cs="Times New Roman"/>
          <w:sz w:val="20"/>
          <w:szCs w:val="20"/>
        </w:rPr>
        <w:t xml:space="preserve"> 343. </w:t>
      </w:r>
    </w:p>
  </w:footnote>
  <w:footnote w:id="23">
    <w:p w14:paraId="194F11C0" w14:textId="642AE072" w:rsidR="00D4791C" w:rsidRPr="00314EF1" w:rsidRDefault="00D4791C" w:rsidP="00314EF1">
      <w:pPr>
        <w:pStyle w:val="FootnoteText"/>
        <w:jc w:val="both"/>
        <w:rPr>
          <w:rFonts w:ascii="Times New Roman" w:hAnsi="Times New Roman" w:cs="Times New Roman"/>
          <w:sz w:val="20"/>
          <w:szCs w:val="20"/>
        </w:rPr>
      </w:pPr>
      <w:r w:rsidRPr="00314EF1">
        <w:rPr>
          <w:rStyle w:val="FootnoteReference"/>
          <w:rFonts w:ascii="Times New Roman" w:hAnsi="Times New Roman" w:cs="Times New Roman"/>
          <w:sz w:val="20"/>
          <w:szCs w:val="20"/>
        </w:rPr>
        <w:footnoteRef/>
      </w:r>
      <w:r w:rsidRPr="00314EF1">
        <w:rPr>
          <w:rFonts w:ascii="Times New Roman" w:hAnsi="Times New Roman" w:cs="Times New Roman"/>
          <w:sz w:val="20"/>
          <w:szCs w:val="20"/>
        </w:rPr>
        <w:t xml:space="preserve"> </w:t>
      </w:r>
      <w:r w:rsidRPr="002323E4">
        <w:rPr>
          <w:rFonts w:ascii="Times New Roman" w:hAnsi="Times New Roman" w:cs="Times New Roman"/>
          <w:sz w:val="20"/>
          <w:szCs w:val="20"/>
          <w:u w:val="single"/>
        </w:rPr>
        <w:t xml:space="preserve">Gratz v. </w:t>
      </w:r>
      <w:proofErr w:type="spellStart"/>
      <w:r w:rsidRPr="002323E4">
        <w:rPr>
          <w:rFonts w:ascii="Times New Roman" w:hAnsi="Times New Roman" w:cs="Times New Roman"/>
          <w:sz w:val="20"/>
          <w:szCs w:val="20"/>
          <w:u w:val="single"/>
        </w:rPr>
        <w:t>Bolliner</w:t>
      </w:r>
      <w:proofErr w:type="spellEnd"/>
      <w:r>
        <w:rPr>
          <w:rFonts w:ascii="Times New Roman" w:hAnsi="Times New Roman" w:cs="Times New Roman"/>
          <w:sz w:val="20"/>
          <w:szCs w:val="20"/>
        </w:rPr>
        <w:t xml:space="preserve">, 539 U.S. 244, 252 (2003) (“Gratz”). </w:t>
      </w:r>
      <w:r w:rsidRPr="00314EF1">
        <w:rPr>
          <w:rFonts w:ascii="Times New Roman" w:hAnsi="Times New Roman" w:cs="Times New Roman"/>
          <w:sz w:val="20"/>
          <w:szCs w:val="20"/>
        </w:rPr>
        <w:t xml:space="preserve"> </w:t>
      </w:r>
    </w:p>
  </w:footnote>
  <w:footnote w:id="24">
    <w:p w14:paraId="3EEF1FB8" w14:textId="1137356A" w:rsidR="00D4791C" w:rsidRPr="00BD0E3B" w:rsidRDefault="00D4791C" w:rsidP="00BD0E3B">
      <w:pPr>
        <w:jc w:val="both"/>
        <w:rPr>
          <w:rFonts w:ascii="Times New Roman" w:hAnsi="Times New Roman" w:cs="Times New Roman"/>
          <w:sz w:val="20"/>
          <w:szCs w:val="20"/>
        </w:rPr>
      </w:pPr>
      <w:r w:rsidRPr="00BD0E3B">
        <w:rPr>
          <w:rStyle w:val="FootnoteReference"/>
          <w:rFonts w:ascii="Times New Roman" w:hAnsi="Times New Roman" w:cs="Times New Roman"/>
          <w:sz w:val="20"/>
          <w:szCs w:val="20"/>
        </w:rPr>
        <w:footnoteRef/>
      </w:r>
      <w:r w:rsidRPr="00BD0E3B">
        <w:rPr>
          <w:rFonts w:ascii="Times New Roman" w:hAnsi="Times New Roman" w:cs="Times New Roman"/>
          <w:sz w:val="20"/>
          <w:szCs w:val="20"/>
        </w:rPr>
        <w:t xml:space="preserve"> This holding is consistent with the majority opinion in </w:t>
      </w:r>
      <w:r w:rsidRPr="00AD3718">
        <w:rPr>
          <w:rFonts w:ascii="Times New Roman" w:hAnsi="Times New Roman" w:cs="Times New Roman"/>
          <w:sz w:val="20"/>
          <w:szCs w:val="20"/>
          <w:u w:val="single"/>
        </w:rPr>
        <w:t>Grutter</w:t>
      </w:r>
      <w:r w:rsidRPr="00BD0E3B">
        <w:rPr>
          <w:rFonts w:ascii="Times New Roman" w:hAnsi="Times New Roman" w:cs="Times New Roman"/>
          <w:sz w:val="20"/>
          <w:szCs w:val="20"/>
        </w:rPr>
        <w:t xml:space="preserve">. Justice O’Connor, who concurred in </w:t>
      </w:r>
      <w:r w:rsidRPr="002323E4">
        <w:rPr>
          <w:rFonts w:ascii="Times New Roman" w:hAnsi="Times New Roman" w:cs="Times New Roman"/>
          <w:sz w:val="20"/>
          <w:szCs w:val="20"/>
          <w:u w:val="single"/>
        </w:rPr>
        <w:t>Gratz</w:t>
      </w:r>
      <w:r w:rsidRPr="00BD0E3B">
        <w:rPr>
          <w:rFonts w:ascii="Times New Roman" w:hAnsi="Times New Roman" w:cs="Times New Roman"/>
          <w:sz w:val="20"/>
          <w:szCs w:val="20"/>
        </w:rPr>
        <w:t xml:space="preserve">, stressed in her majority opinion in </w:t>
      </w:r>
      <w:r w:rsidRPr="002323E4">
        <w:rPr>
          <w:rFonts w:ascii="Times New Roman" w:hAnsi="Times New Roman" w:cs="Times New Roman"/>
          <w:sz w:val="20"/>
          <w:szCs w:val="20"/>
          <w:u w:val="single"/>
        </w:rPr>
        <w:t>Grutter</w:t>
      </w:r>
      <w:r w:rsidRPr="00BD0E3B">
        <w:rPr>
          <w:rFonts w:ascii="Times New Roman" w:hAnsi="Times New Roman" w:cs="Times New Roman"/>
          <w:sz w:val="20"/>
          <w:szCs w:val="20"/>
        </w:rPr>
        <w:t xml:space="preserve"> that the Law School admissions program was distinguished from the LSA program because “the Law School awards no mechanical, predetermined diversity bonuses based on race or ethnicity.” </w:t>
      </w:r>
      <w:r w:rsidRPr="002323E4">
        <w:rPr>
          <w:rFonts w:ascii="Times New Roman" w:hAnsi="Times New Roman" w:cs="Times New Roman"/>
          <w:sz w:val="20"/>
          <w:szCs w:val="20"/>
          <w:u w:val="single"/>
        </w:rPr>
        <w:t>Grutter</w:t>
      </w:r>
      <w:r w:rsidRPr="00BD0E3B">
        <w:rPr>
          <w:rFonts w:ascii="Times New Roman" w:hAnsi="Times New Roman" w:cs="Times New Roman"/>
          <w:sz w:val="20"/>
          <w:szCs w:val="20"/>
        </w:rPr>
        <w:t xml:space="preserve"> at 337. </w:t>
      </w:r>
    </w:p>
  </w:footnote>
  <w:footnote w:id="25">
    <w:p w14:paraId="0B3F7551" w14:textId="31EBBB9D" w:rsidR="00D4791C" w:rsidRPr="00BD0E3B" w:rsidRDefault="00D4791C" w:rsidP="00BD0E3B">
      <w:pPr>
        <w:pStyle w:val="FootnoteText"/>
        <w:jc w:val="both"/>
        <w:rPr>
          <w:rFonts w:ascii="Times New Roman" w:hAnsi="Times New Roman" w:cs="Times New Roman"/>
          <w:sz w:val="20"/>
          <w:szCs w:val="20"/>
        </w:rPr>
      </w:pPr>
      <w:r w:rsidRPr="00BD0E3B">
        <w:rPr>
          <w:rStyle w:val="FootnoteReference"/>
          <w:rFonts w:ascii="Times New Roman" w:hAnsi="Times New Roman" w:cs="Times New Roman"/>
          <w:sz w:val="20"/>
          <w:szCs w:val="20"/>
        </w:rPr>
        <w:footnoteRef/>
      </w:r>
      <w:r w:rsidRPr="00BD0E3B">
        <w:rPr>
          <w:rFonts w:ascii="Times New Roman" w:hAnsi="Times New Roman" w:cs="Times New Roman"/>
          <w:sz w:val="20"/>
          <w:szCs w:val="20"/>
        </w:rPr>
        <w:t xml:space="preserve"> </w:t>
      </w:r>
      <w:r w:rsidRPr="00AD3718">
        <w:rPr>
          <w:rFonts w:ascii="Times New Roman" w:hAnsi="Times New Roman" w:cs="Times New Roman"/>
          <w:sz w:val="20"/>
          <w:szCs w:val="20"/>
          <w:u w:val="single"/>
        </w:rPr>
        <w:t>Gratz</w:t>
      </w:r>
      <w:r w:rsidRPr="00BD0E3B">
        <w:rPr>
          <w:rFonts w:ascii="Times New Roman" w:hAnsi="Times New Roman" w:cs="Times New Roman"/>
          <w:sz w:val="20"/>
          <w:szCs w:val="20"/>
        </w:rPr>
        <w:t xml:space="preserve"> at 271. </w:t>
      </w:r>
    </w:p>
  </w:footnote>
  <w:footnote w:id="26">
    <w:p w14:paraId="4AFCD334" w14:textId="40AF7BA0" w:rsidR="00D4791C" w:rsidRPr="00BD0E3B" w:rsidRDefault="00D4791C" w:rsidP="00BD0E3B">
      <w:pPr>
        <w:pStyle w:val="FootnoteText"/>
        <w:jc w:val="both"/>
        <w:rPr>
          <w:rFonts w:ascii="Times New Roman" w:hAnsi="Times New Roman" w:cs="Times New Roman"/>
          <w:sz w:val="20"/>
          <w:szCs w:val="20"/>
        </w:rPr>
      </w:pPr>
      <w:r w:rsidRPr="00BD0E3B">
        <w:rPr>
          <w:rStyle w:val="FootnoteReference"/>
          <w:rFonts w:ascii="Times New Roman" w:hAnsi="Times New Roman" w:cs="Times New Roman"/>
          <w:sz w:val="20"/>
          <w:szCs w:val="20"/>
        </w:rPr>
        <w:footnoteRef/>
      </w:r>
      <w:r w:rsidRPr="00BD0E3B">
        <w:rPr>
          <w:rFonts w:ascii="Times New Roman" w:hAnsi="Times New Roman" w:cs="Times New Roman"/>
          <w:sz w:val="20"/>
          <w:szCs w:val="20"/>
        </w:rPr>
        <w:t xml:space="preserve"> </w:t>
      </w:r>
      <w:r w:rsidRPr="00AD3718">
        <w:rPr>
          <w:rFonts w:ascii="Times New Roman" w:hAnsi="Times New Roman" w:cs="Times New Roman"/>
          <w:sz w:val="20"/>
          <w:szCs w:val="20"/>
          <w:u w:val="single"/>
        </w:rPr>
        <w:t>Gratz</w:t>
      </w:r>
      <w:r w:rsidRPr="00BD0E3B">
        <w:rPr>
          <w:rFonts w:ascii="Times New Roman" w:hAnsi="Times New Roman" w:cs="Times New Roman"/>
          <w:sz w:val="20"/>
          <w:szCs w:val="20"/>
        </w:rPr>
        <w:t xml:space="preserve"> at 271.</w:t>
      </w:r>
    </w:p>
  </w:footnote>
  <w:footnote w:id="27">
    <w:p w14:paraId="6D3C9D87" w14:textId="1EBA19EF" w:rsidR="00D4791C" w:rsidRPr="00BD0E3B" w:rsidRDefault="00D4791C" w:rsidP="00BD0E3B">
      <w:pPr>
        <w:pStyle w:val="FootnoteText"/>
        <w:jc w:val="both"/>
        <w:rPr>
          <w:rFonts w:ascii="Times New Roman" w:hAnsi="Times New Roman" w:cs="Times New Roman"/>
          <w:sz w:val="20"/>
          <w:szCs w:val="20"/>
        </w:rPr>
      </w:pPr>
      <w:r w:rsidRPr="00BD0E3B">
        <w:rPr>
          <w:rStyle w:val="FootnoteReference"/>
          <w:rFonts w:ascii="Times New Roman" w:hAnsi="Times New Roman" w:cs="Times New Roman"/>
          <w:sz w:val="20"/>
          <w:szCs w:val="20"/>
        </w:rPr>
        <w:footnoteRef/>
      </w:r>
      <w:r w:rsidRPr="00BD0E3B">
        <w:rPr>
          <w:rFonts w:ascii="Times New Roman" w:hAnsi="Times New Roman" w:cs="Times New Roman"/>
          <w:sz w:val="20"/>
          <w:szCs w:val="20"/>
        </w:rPr>
        <w:t xml:space="preserve"> “[T]he LSA’s automatic distribution of 20 points has the effect of making the factor of race decisive for virtually every minimally qualified underrepresented minority </w:t>
      </w:r>
      <w:proofErr w:type="spellStart"/>
      <w:r w:rsidRPr="00BD0E3B">
        <w:rPr>
          <w:rFonts w:ascii="Times New Roman" w:hAnsi="Times New Roman" w:cs="Times New Roman"/>
          <w:sz w:val="20"/>
          <w:szCs w:val="20"/>
        </w:rPr>
        <w:t>applicant.”Gratz</w:t>
      </w:r>
      <w:proofErr w:type="spellEnd"/>
      <w:r w:rsidRPr="00BD0E3B">
        <w:rPr>
          <w:rFonts w:ascii="Times New Roman" w:hAnsi="Times New Roman" w:cs="Times New Roman"/>
          <w:sz w:val="20"/>
          <w:szCs w:val="20"/>
        </w:rPr>
        <w:t xml:space="preserve"> at 272. This goes against Justice Powell’s opinion in </w:t>
      </w:r>
      <w:r w:rsidRPr="00016B1E">
        <w:rPr>
          <w:rFonts w:ascii="Times New Roman" w:hAnsi="Times New Roman" w:cs="Times New Roman"/>
          <w:sz w:val="20"/>
          <w:szCs w:val="20"/>
          <w:u w:val="single"/>
        </w:rPr>
        <w:t>Regents of the University of California v. Bakke</w:t>
      </w:r>
      <w:r w:rsidRPr="00016B1E">
        <w:rPr>
          <w:rFonts w:ascii="Times New Roman" w:hAnsi="Times New Roman" w:cs="Times New Roman"/>
          <w:sz w:val="20"/>
          <w:szCs w:val="20"/>
        </w:rPr>
        <w:t xml:space="preserve">, </w:t>
      </w:r>
      <w:r w:rsidRPr="00BD0E3B">
        <w:rPr>
          <w:rFonts w:ascii="Times New Roman" w:hAnsi="Times New Roman" w:cs="Times New Roman"/>
          <w:sz w:val="20"/>
          <w:szCs w:val="20"/>
        </w:rPr>
        <w:t xml:space="preserve">which both majorities in </w:t>
      </w:r>
      <w:r w:rsidRPr="00016B1E">
        <w:rPr>
          <w:rFonts w:ascii="Times New Roman" w:hAnsi="Times New Roman" w:cs="Times New Roman"/>
          <w:sz w:val="20"/>
          <w:szCs w:val="20"/>
          <w:u w:val="single"/>
        </w:rPr>
        <w:t>Gratz</w:t>
      </w:r>
      <w:r w:rsidRPr="00BD0E3B">
        <w:rPr>
          <w:rFonts w:ascii="Times New Roman" w:hAnsi="Times New Roman" w:cs="Times New Roman"/>
          <w:sz w:val="20"/>
          <w:szCs w:val="20"/>
        </w:rPr>
        <w:t xml:space="preserve"> and </w:t>
      </w:r>
      <w:r w:rsidRPr="00016B1E">
        <w:rPr>
          <w:rFonts w:ascii="Times New Roman" w:hAnsi="Times New Roman" w:cs="Times New Roman"/>
          <w:sz w:val="20"/>
          <w:szCs w:val="20"/>
          <w:u w:val="single"/>
        </w:rPr>
        <w:t>Grutter</w:t>
      </w:r>
      <w:r w:rsidRPr="00BD0E3B">
        <w:rPr>
          <w:rFonts w:ascii="Times New Roman" w:hAnsi="Times New Roman" w:cs="Times New Roman"/>
          <w:sz w:val="20"/>
          <w:szCs w:val="20"/>
        </w:rPr>
        <w:t xml:space="preserve"> use as preceden</w:t>
      </w:r>
      <w:r>
        <w:rPr>
          <w:rFonts w:ascii="Times New Roman" w:hAnsi="Times New Roman" w:cs="Times New Roman"/>
          <w:sz w:val="20"/>
          <w:szCs w:val="20"/>
        </w:rPr>
        <w:t>t</w:t>
      </w:r>
      <w:r w:rsidRPr="00BD0E3B">
        <w:rPr>
          <w:rFonts w:ascii="Times New Roman" w:hAnsi="Times New Roman" w:cs="Times New Roman"/>
          <w:sz w:val="20"/>
          <w:szCs w:val="20"/>
        </w:rPr>
        <w:t xml:space="preserve">. “Justice Powell’s opinion announcing the judgment of the Court has served as the touchstone for constitutional analysis of race-conscious admissions policies.” </w:t>
      </w:r>
      <w:r w:rsidRPr="00016B1E">
        <w:rPr>
          <w:rFonts w:ascii="Times New Roman" w:hAnsi="Times New Roman" w:cs="Times New Roman"/>
          <w:sz w:val="20"/>
          <w:szCs w:val="20"/>
          <w:u w:val="single"/>
        </w:rPr>
        <w:t>Grutter</w:t>
      </w:r>
      <w:r w:rsidRPr="00016B1E">
        <w:rPr>
          <w:rFonts w:ascii="Times New Roman" w:hAnsi="Times New Roman" w:cs="Times New Roman"/>
          <w:sz w:val="20"/>
          <w:szCs w:val="20"/>
        </w:rPr>
        <w:t xml:space="preserve"> </w:t>
      </w:r>
      <w:r w:rsidRPr="00BD0E3B">
        <w:rPr>
          <w:rFonts w:ascii="Times New Roman" w:hAnsi="Times New Roman" w:cs="Times New Roman"/>
          <w:sz w:val="20"/>
          <w:szCs w:val="20"/>
        </w:rPr>
        <w:t xml:space="preserve">at 323. </w:t>
      </w:r>
    </w:p>
  </w:footnote>
  <w:footnote w:id="28">
    <w:p w14:paraId="0D9C2266" w14:textId="47735608" w:rsidR="00D4791C" w:rsidRPr="00BD0E3B" w:rsidRDefault="00D4791C" w:rsidP="00AE046C">
      <w:pPr>
        <w:jc w:val="both"/>
        <w:rPr>
          <w:rFonts w:ascii="Times New Roman" w:hAnsi="Times New Roman" w:cs="Times New Roman"/>
          <w:sz w:val="20"/>
          <w:szCs w:val="20"/>
        </w:rPr>
      </w:pPr>
      <w:r w:rsidRPr="00AE046C">
        <w:rPr>
          <w:rStyle w:val="FootnoteReference"/>
          <w:rFonts w:ascii="Times New Roman" w:hAnsi="Times New Roman" w:cs="Times New Roman"/>
          <w:sz w:val="20"/>
          <w:szCs w:val="20"/>
        </w:rPr>
        <w:footnoteRef/>
      </w:r>
      <w:r w:rsidRPr="00AE046C">
        <w:rPr>
          <w:rFonts w:ascii="Times New Roman" w:hAnsi="Times New Roman" w:cs="Times New Roman"/>
          <w:sz w:val="20"/>
          <w:szCs w:val="20"/>
        </w:rPr>
        <w:t xml:space="preserve"> Sandra Fredman, </w:t>
      </w:r>
      <w:r w:rsidRPr="003A360F">
        <w:rPr>
          <w:rFonts w:ascii="Times New Roman" w:eastAsia="Times New Roman" w:hAnsi="Times New Roman" w:cs="Times New Roman"/>
          <w:sz w:val="20"/>
          <w:szCs w:val="20"/>
          <w:u w:val="single"/>
        </w:rPr>
        <w:t xml:space="preserve">Comparative </w:t>
      </w:r>
      <w:r w:rsidRPr="00826A24">
        <w:rPr>
          <w:rFonts w:ascii="Times New Roman" w:eastAsia="Times New Roman" w:hAnsi="Times New Roman" w:cs="Times New Roman"/>
          <w:sz w:val="20"/>
          <w:szCs w:val="20"/>
          <w:u w:val="single"/>
        </w:rPr>
        <w:t>study of anti-discrimination and equality laws of the US, Canada, South Africa and India</w:t>
      </w:r>
      <w:r w:rsidRPr="00AE046C">
        <w:rPr>
          <w:rFonts w:ascii="Times New Roman" w:eastAsia="Times New Roman" w:hAnsi="Times New Roman" w:cs="Times New Roman"/>
          <w:sz w:val="20"/>
          <w:szCs w:val="20"/>
        </w:rPr>
        <w:t>, European Commission Directorate-General for Justice (Feb. 201</w:t>
      </w:r>
      <w:r>
        <w:rPr>
          <w:rFonts w:ascii="Times New Roman" w:eastAsia="Times New Roman" w:hAnsi="Times New Roman" w:cs="Times New Roman"/>
          <w:sz w:val="20"/>
          <w:szCs w:val="20"/>
        </w:rPr>
        <w:t xml:space="preserve">2) (“Fredman”), p. 67. Available at: </w:t>
      </w:r>
      <w:r w:rsidRPr="00AE046C">
        <w:rPr>
          <w:rFonts w:ascii="Times New Roman" w:eastAsia="Times New Roman" w:hAnsi="Times New Roman" w:cs="Times New Roman"/>
          <w:sz w:val="20"/>
          <w:szCs w:val="20"/>
        </w:rPr>
        <w:t>&lt;http://ec.europa.eu/justice/discrimination/files/comparative_study_ad_equality_laws_of_us_canada_sa_india_en.pdf&gt;.</w:t>
      </w:r>
    </w:p>
    <w:p w14:paraId="51EFA6C7" w14:textId="14BF3DCA" w:rsidR="00D4791C" w:rsidRPr="00BD0E3B" w:rsidRDefault="00D4791C" w:rsidP="00BD0E3B">
      <w:pPr>
        <w:pStyle w:val="FootnoteText"/>
        <w:jc w:val="both"/>
        <w:rPr>
          <w:rFonts w:ascii="Times New Roman" w:hAnsi="Times New Roman" w:cs="Times New Roman"/>
          <w:sz w:val="20"/>
          <w:szCs w:val="20"/>
        </w:rPr>
      </w:pPr>
      <w:r w:rsidRPr="00BD0E3B">
        <w:rPr>
          <w:rFonts w:ascii="Times New Roman" w:hAnsi="Times New Roman" w:cs="Times New Roman"/>
          <w:sz w:val="20"/>
          <w:szCs w:val="20"/>
        </w:rPr>
        <w:t xml:space="preserve"> </w:t>
      </w:r>
    </w:p>
  </w:footnote>
  <w:footnote w:id="29">
    <w:p w14:paraId="6A2C86CA" w14:textId="6FD7EE71" w:rsidR="00D4791C" w:rsidRPr="00826A24" w:rsidRDefault="00D4791C" w:rsidP="0072121F">
      <w:pPr>
        <w:pStyle w:val="FootnoteText"/>
        <w:jc w:val="both"/>
        <w:rPr>
          <w:rFonts w:ascii="Times New Roman" w:hAnsi="Times New Roman" w:cs="Times New Roman"/>
          <w:color w:val="000000" w:themeColor="text1"/>
          <w:sz w:val="20"/>
          <w:szCs w:val="20"/>
        </w:rPr>
      </w:pPr>
      <w:r w:rsidRPr="00826A24">
        <w:rPr>
          <w:rStyle w:val="FootnoteReference"/>
          <w:rFonts w:ascii="Times New Roman" w:hAnsi="Times New Roman" w:cs="Times New Roman"/>
          <w:color w:val="000000" w:themeColor="text1"/>
          <w:sz w:val="20"/>
          <w:szCs w:val="20"/>
        </w:rPr>
        <w:footnoteRef/>
      </w:r>
      <w:r w:rsidRPr="00826A24">
        <w:rPr>
          <w:rFonts w:ascii="Times New Roman" w:hAnsi="Times New Roman" w:cs="Times New Roman"/>
          <w:color w:val="000000" w:themeColor="text1"/>
          <w:sz w:val="20"/>
          <w:szCs w:val="20"/>
        </w:rPr>
        <w:t xml:space="preserve"> Fredman at 67, citing </w:t>
      </w:r>
      <w:r w:rsidRPr="00826A24">
        <w:rPr>
          <w:rFonts w:ascii="Times New Roman" w:hAnsi="Times New Roman" w:cs="Times New Roman"/>
          <w:color w:val="000000" w:themeColor="text1"/>
          <w:sz w:val="20"/>
          <w:szCs w:val="20"/>
          <w:u w:val="single"/>
        </w:rPr>
        <w:t>State of Kerala v. NM Thomas AIR</w:t>
      </w:r>
      <w:r w:rsidRPr="00826A24">
        <w:rPr>
          <w:rFonts w:ascii="Times New Roman" w:hAnsi="Times New Roman" w:cs="Times New Roman"/>
          <w:color w:val="000000" w:themeColor="text1"/>
          <w:sz w:val="20"/>
          <w:szCs w:val="20"/>
        </w:rPr>
        <w:t xml:space="preserve"> 1976 SC 490 (Supreme Court of India).</w:t>
      </w:r>
    </w:p>
  </w:footnote>
  <w:footnote w:id="30">
    <w:p w14:paraId="2EEBFDF2" w14:textId="71265B64" w:rsidR="00D4791C" w:rsidRPr="00826A24" w:rsidRDefault="00D4791C" w:rsidP="00BD0E3B">
      <w:pPr>
        <w:jc w:val="both"/>
        <w:rPr>
          <w:rFonts w:ascii="Times New Roman" w:eastAsia="Times New Roman" w:hAnsi="Times New Roman" w:cs="Times New Roman"/>
          <w:color w:val="000000" w:themeColor="text1"/>
          <w:sz w:val="20"/>
          <w:szCs w:val="20"/>
        </w:rPr>
      </w:pPr>
      <w:r w:rsidRPr="00826A24">
        <w:rPr>
          <w:rStyle w:val="FootnoteReference"/>
          <w:rFonts w:ascii="Times New Roman" w:hAnsi="Times New Roman" w:cs="Times New Roman"/>
          <w:color w:val="000000" w:themeColor="text1"/>
          <w:sz w:val="20"/>
          <w:szCs w:val="20"/>
        </w:rPr>
        <w:footnoteRef/>
      </w:r>
      <w:r w:rsidRPr="00826A24">
        <w:rPr>
          <w:rFonts w:ascii="Times New Roman" w:hAnsi="Times New Roman" w:cs="Times New Roman"/>
          <w:color w:val="000000" w:themeColor="text1"/>
          <w:sz w:val="20"/>
          <w:szCs w:val="20"/>
        </w:rPr>
        <w:t xml:space="preserve"> </w:t>
      </w:r>
      <w:r w:rsidRPr="00826A24">
        <w:rPr>
          <w:rFonts w:ascii="Times New Roman" w:eastAsia="Times New Roman" w:hAnsi="Times New Roman" w:cs="Times New Roman"/>
          <w:color w:val="000000" w:themeColor="text1"/>
          <w:sz w:val="20"/>
          <w:szCs w:val="20"/>
        </w:rPr>
        <w:t xml:space="preserve">“The State shall not deny to any person equality before the law or the equal protection of the laws within the territory of India.” </w:t>
      </w:r>
      <w:r w:rsidRPr="00826A24">
        <w:rPr>
          <w:rFonts w:ascii="Times New Roman" w:eastAsia="Times New Roman" w:hAnsi="Times New Roman" w:cs="Times New Roman"/>
          <w:color w:val="000000" w:themeColor="text1"/>
          <w:sz w:val="20"/>
          <w:szCs w:val="20"/>
          <w:u w:val="single"/>
        </w:rPr>
        <w:t>Constitution of India</w:t>
      </w:r>
      <w:r w:rsidRPr="00826A24">
        <w:rPr>
          <w:rFonts w:ascii="Times New Roman" w:eastAsia="Times New Roman" w:hAnsi="Times New Roman" w:cs="Times New Roman"/>
          <w:color w:val="000000" w:themeColor="text1"/>
          <w:sz w:val="20"/>
          <w:szCs w:val="20"/>
        </w:rPr>
        <w:t xml:space="preserve">, Article 14. </w:t>
      </w:r>
      <w:r>
        <w:rPr>
          <w:rFonts w:ascii="Times New Roman" w:eastAsia="Times New Roman" w:hAnsi="Times New Roman" w:cs="Times New Roman"/>
          <w:color w:val="000000" w:themeColor="text1"/>
          <w:sz w:val="20"/>
          <w:szCs w:val="20"/>
        </w:rPr>
        <w:t>Available at: &lt;</w:t>
      </w:r>
      <w:r w:rsidRPr="0040435F">
        <w:rPr>
          <w:rFonts w:ascii="Times New Roman" w:eastAsia="Times New Roman" w:hAnsi="Times New Roman" w:cs="Times New Roman"/>
          <w:color w:val="000000" w:themeColor="text1"/>
          <w:sz w:val="20"/>
          <w:szCs w:val="20"/>
        </w:rPr>
        <w:t>http://lawmin.nic.in/coi/coiason29july08.pdf</w:t>
      </w:r>
      <w:r>
        <w:rPr>
          <w:rFonts w:ascii="Times New Roman" w:eastAsia="Times New Roman" w:hAnsi="Times New Roman" w:cs="Times New Roman"/>
          <w:color w:val="000000" w:themeColor="text1"/>
          <w:sz w:val="20"/>
          <w:szCs w:val="20"/>
        </w:rPr>
        <w:t xml:space="preserve">&gt;. </w:t>
      </w:r>
    </w:p>
  </w:footnote>
  <w:footnote w:id="31">
    <w:p w14:paraId="28E840DB" w14:textId="599614B7" w:rsidR="00D4791C" w:rsidRPr="00826A24" w:rsidRDefault="00D4791C" w:rsidP="00BD0E3B">
      <w:pPr>
        <w:pStyle w:val="FootnoteText"/>
        <w:jc w:val="both"/>
        <w:rPr>
          <w:rFonts w:ascii="Times New Roman" w:hAnsi="Times New Roman" w:cs="Times New Roman"/>
          <w:color w:val="000000" w:themeColor="text1"/>
          <w:sz w:val="20"/>
          <w:szCs w:val="20"/>
        </w:rPr>
      </w:pPr>
      <w:r w:rsidRPr="00826A24">
        <w:rPr>
          <w:rStyle w:val="FootnoteReference"/>
          <w:rFonts w:ascii="Times New Roman" w:hAnsi="Times New Roman" w:cs="Times New Roman"/>
          <w:color w:val="000000" w:themeColor="text1"/>
          <w:sz w:val="20"/>
          <w:szCs w:val="20"/>
        </w:rPr>
        <w:footnoteRef/>
      </w:r>
      <w:r w:rsidRPr="00826A24">
        <w:rPr>
          <w:rFonts w:ascii="Times New Roman" w:hAnsi="Times New Roman" w:cs="Times New Roman"/>
          <w:color w:val="000000" w:themeColor="text1"/>
          <w:sz w:val="20"/>
          <w:szCs w:val="20"/>
        </w:rPr>
        <w:t xml:space="preserve"> </w:t>
      </w:r>
      <w:r w:rsidRPr="00826A24">
        <w:rPr>
          <w:rFonts w:ascii="Times New Roman" w:eastAsia="Times New Roman" w:hAnsi="Times New Roman" w:cs="Times New Roman"/>
          <w:color w:val="000000" w:themeColor="text1"/>
          <w:sz w:val="20"/>
          <w:szCs w:val="20"/>
          <w:u w:val="single"/>
        </w:rPr>
        <w:t>Constitution of India</w:t>
      </w:r>
      <w:r w:rsidRPr="00826A24">
        <w:rPr>
          <w:rFonts w:ascii="Times New Roman" w:eastAsia="Times New Roman" w:hAnsi="Times New Roman" w:cs="Times New Roman"/>
          <w:color w:val="000000" w:themeColor="text1"/>
          <w:sz w:val="20"/>
          <w:szCs w:val="20"/>
        </w:rPr>
        <w:t>, Article 15(1).</w:t>
      </w:r>
    </w:p>
  </w:footnote>
  <w:footnote w:id="32">
    <w:p w14:paraId="7AAACD66" w14:textId="1A542E15" w:rsidR="00D4791C" w:rsidRPr="00826A24" w:rsidRDefault="00D4791C" w:rsidP="000702BD">
      <w:pPr>
        <w:pStyle w:val="FootnoteText"/>
        <w:jc w:val="both"/>
        <w:rPr>
          <w:rFonts w:ascii="Times New Roman" w:hAnsi="Times New Roman" w:cs="Times New Roman"/>
          <w:color w:val="000000" w:themeColor="text1"/>
          <w:sz w:val="20"/>
          <w:szCs w:val="20"/>
        </w:rPr>
      </w:pPr>
      <w:r w:rsidRPr="00826A24">
        <w:rPr>
          <w:rStyle w:val="FootnoteReference"/>
          <w:rFonts w:ascii="Times New Roman" w:hAnsi="Times New Roman" w:cs="Times New Roman"/>
          <w:color w:val="000000" w:themeColor="text1"/>
          <w:sz w:val="20"/>
          <w:szCs w:val="20"/>
        </w:rPr>
        <w:footnoteRef/>
      </w:r>
      <w:r w:rsidRPr="00826A24">
        <w:rPr>
          <w:rFonts w:ascii="Times New Roman" w:hAnsi="Times New Roman" w:cs="Times New Roman"/>
          <w:color w:val="000000" w:themeColor="text1"/>
          <w:sz w:val="20"/>
          <w:szCs w:val="20"/>
        </w:rPr>
        <w:t xml:space="preserve"> </w:t>
      </w:r>
      <w:r w:rsidRPr="00826A24">
        <w:rPr>
          <w:rFonts w:ascii="Times New Roman" w:hAnsi="Times New Roman" w:cs="Times New Roman"/>
          <w:color w:val="000000" w:themeColor="text1"/>
          <w:sz w:val="20"/>
          <w:szCs w:val="20"/>
          <w:u w:val="single"/>
        </w:rPr>
        <w:t>Constitution of India</w:t>
      </w:r>
      <w:r w:rsidRPr="00826A24">
        <w:rPr>
          <w:rFonts w:ascii="Times New Roman" w:hAnsi="Times New Roman" w:cs="Times New Roman"/>
          <w:color w:val="000000" w:themeColor="text1"/>
          <w:sz w:val="20"/>
          <w:szCs w:val="20"/>
        </w:rPr>
        <w:t>, Article 15(4).</w:t>
      </w:r>
    </w:p>
  </w:footnote>
  <w:footnote w:id="33">
    <w:p w14:paraId="4461DD2B" w14:textId="17CD82DA" w:rsidR="00D4791C" w:rsidRPr="00826A24" w:rsidRDefault="00D4791C" w:rsidP="000702BD">
      <w:pPr>
        <w:pStyle w:val="FootnoteText"/>
        <w:jc w:val="both"/>
        <w:rPr>
          <w:rFonts w:ascii="Times New Roman" w:hAnsi="Times New Roman" w:cs="Times New Roman"/>
          <w:color w:val="000000" w:themeColor="text1"/>
          <w:sz w:val="20"/>
          <w:szCs w:val="20"/>
        </w:rPr>
      </w:pPr>
      <w:r w:rsidRPr="00826A24">
        <w:rPr>
          <w:rStyle w:val="FootnoteReference"/>
          <w:rFonts w:ascii="Times New Roman" w:hAnsi="Times New Roman" w:cs="Times New Roman"/>
          <w:color w:val="000000" w:themeColor="text1"/>
          <w:sz w:val="20"/>
          <w:szCs w:val="20"/>
        </w:rPr>
        <w:footnoteRef/>
      </w:r>
      <w:r w:rsidRPr="00826A24">
        <w:rPr>
          <w:rFonts w:ascii="Times New Roman" w:hAnsi="Times New Roman" w:cs="Times New Roman"/>
          <w:color w:val="000000" w:themeColor="text1"/>
          <w:sz w:val="20"/>
          <w:szCs w:val="20"/>
        </w:rPr>
        <w:t xml:space="preserve"> </w:t>
      </w:r>
      <w:r w:rsidRPr="00826A24">
        <w:rPr>
          <w:rFonts w:ascii="Times New Roman" w:hAnsi="Times New Roman" w:cs="Times New Roman"/>
          <w:color w:val="000000" w:themeColor="text1"/>
          <w:sz w:val="20"/>
          <w:szCs w:val="20"/>
          <w:u w:val="single"/>
        </w:rPr>
        <w:t>Constitution of India</w:t>
      </w:r>
      <w:r w:rsidRPr="00826A24">
        <w:rPr>
          <w:rFonts w:ascii="Times New Roman" w:hAnsi="Times New Roman" w:cs="Times New Roman"/>
          <w:color w:val="000000" w:themeColor="text1"/>
          <w:sz w:val="20"/>
          <w:szCs w:val="20"/>
        </w:rPr>
        <w:t>, Article 15(5).</w:t>
      </w:r>
    </w:p>
  </w:footnote>
  <w:footnote w:id="34">
    <w:p w14:paraId="39030D8F" w14:textId="25263E70" w:rsidR="00D4791C" w:rsidRPr="006302E6" w:rsidRDefault="00D4791C" w:rsidP="00597BC1">
      <w:pPr>
        <w:pStyle w:val="NoSpacing"/>
        <w:jc w:val="both"/>
        <w:rPr>
          <w:rFonts w:ascii="Times New Roman" w:hAnsi="Times New Roman" w:cs="Times New Roman"/>
          <w:color w:val="000000" w:themeColor="text1"/>
          <w:sz w:val="20"/>
          <w:szCs w:val="20"/>
        </w:rPr>
      </w:pPr>
      <w:r w:rsidRPr="006302E6">
        <w:rPr>
          <w:rStyle w:val="FootnoteReference"/>
          <w:rFonts w:ascii="Times New Roman" w:hAnsi="Times New Roman" w:cs="Times New Roman"/>
          <w:color w:val="000000" w:themeColor="text1"/>
          <w:sz w:val="20"/>
          <w:szCs w:val="20"/>
        </w:rPr>
        <w:footnoteRef/>
      </w:r>
      <w:r w:rsidRPr="006302E6">
        <w:rPr>
          <w:rFonts w:ascii="Times New Roman" w:hAnsi="Times New Roman" w:cs="Times New Roman"/>
          <w:color w:val="000000" w:themeColor="text1"/>
          <w:sz w:val="20"/>
          <w:szCs w:val="20"/>
        </w:rPr>
        <w:t xml:space="preserve"> </w:t>
      </w:r>
      <w:r w:rsidRPr="006302E6">
        <w:rPr>
          <w:rStyle w:val="Strong"/>
          <w:rFonts w:ascii="Times New Roman" w:eastAsia="Times New Roman" w:hAnsi="Times New Roman" w:cs="Times New Roman"/>
          <w:b w:val="0"/>
          <w:color w:val="000000" w:themeColor="text1"/>
          <w:sz w:val="20"/>
          <w:szCs w:val="20"/>
          <w:u w:val="single"/>
          <w:shd w:val="clear" w:color="auto" w:fill="FFFFFF"/>
        </w:rPr>
        <w:t>The History, Rationale and Critical Analysis of</w:t>
      </w:r>
      <w:r w:rsidRPr="006302E6">
        <w:rPr>
          <w:rStyle w:val="apple-converted-space"/>
          <w:rFonts w:ascii="Times New Roman" w:eastAsia="Times New Roman" w:hAnsi="Times New Roman" w:cs="Times New Roman"/>
          <w:bCs/>
          <w:color w:val="000000" w:themeColor="text1"/>
          <w:sz w:val="20"/>
          <w:szCs w:val="20"/>
          <w:u w:val="single"/>
          <w:shd w:val="clear" w:color="auto" w:fill="FFFFFF"/>
        </w:rPr>
        <w:t> </w:t>
      </w:r>
      <w:r w:rsidRPr="006302E6">
        <w:rPr>
          <w:rStyle w:val="Emphasis"/>
          <w:rFonts w:ascii="Times New Roman" w:eastAsia="Times New Roman" w:hAnsi="Times New Roman" w:cs="Times New Roman"/>
          <w:bCs/>
          <w:color w:val="000000" w:themeColor="text1"/>
          <w:sz w:val="20"/>
          <w:szCs w:val="20"/>
          <w:u w:val="single"/>
          <w:shd w:val="clear" w:color="auto" w:fill="FFFFFF"/>
        </w:rPr>
        <w:t>Reservations</w:t>
      </w:r>
      <w:r w:rsidRPr="006302E6">
        <w:rPr>
          <w:rStyle w:val="apple-converted-space"/>
          <w:rFonts w:ascii="Times New Roman" w:eastAsia="Times New Roman" w:hAnsi="Times New Roman" w:cs="Times New Roman"/>
          <w:bCs/>
          <w:color w:val="000000" w:themeColor="text1"/>
          <w:sz w:val="20"/>
          <w:szCs w:val="20"/>
          <w:u w:val="single"/>
          <w:shd w:val="clear" w:color="auto" w:fill="FFFFFF"/>
        </w:rPr>
        <w:t> </w:t>
      </w:r>
      <w:r w:rsidRPr="006302E6">
        <w:rPr>
          <w:rStyle w:val="Strong"/>
          <w:rFonts w:ascii="Times New Roman" w:eastAsia="Times New Roman" w:hAnsi="Times New Roman" w:cs="Times New Roman"/>
          <w:b w:val="0"/>
          <w:color w:val="000000" w:themeColor="text1"/>
          <w:sz w:val="20"/>
          <w:szCs w:val="20"/>
          <w:u w:val="single"/>
          <w:shd w:val="clear" w:color="auto" w:fill="FFFFFF"/>
        </w:rPr>
        <w:t>under the Constitution of India</w:t>
      </w:r>
      <w:r w:rsidRPr="006302E6">
        <w:rPr>
          <w:rStyle w:val="Strong"/>
          <w:rFonts w:ascii="Times New Roman" w:eastAsia="Times New Roman" w:hAnsi="Times New Roman" w:cs="Times New Roman"/>
          <w:b w:val="0"/>
          <w:color w:val="000000" w:themeColor="text1"/>
          <w:sz w:val="20"/>
          <w:szCs w:val="20"/>
          <w:shd w:val="clear" w:color="auto" w:fill="FFFFFF"/>
        </w:rPr>
        <w:t>. Available at:</w:t>
      </w:r>
    </w:p>
    <w:p w14:paraId="2A3C8851" w14:textId="7645B7D9" w:rsidR="00D4791C" w:rsidRPr="006302E6" w:rsidRDefault="00D4791C" w:rsidP="00597BC1">
      <w:pPr>
        <w:pStyle w:val="NoSpacing"/>
        <w:jc w:val="both"/>
        <w:rPr>
          <w:rFonts w:ascii="Times New Roman" w:hAnsi="Times New Roman" w:cs="Times New Roman"/>
          <w:color w:val="000000" w:themeColor="text1"/>
          <w:sz w:val="20"/>
          <w:szCs w:val="20"/>
        </w:rPr>
      </w:pPr>
      <w:r w:rsidRPr="006302E6">
        <w:rPr>
          <w:rFonts w:ascii="Times New Roman" w:hAnsi="Times New Roman" w:cs="Times New Roman"/>
          <w:color w:val="000000" w:themeColor="text1"/>
          <w:sz w:val="20"/>
          <w:szCs w:val="20"/>
        </w:rPr>
        <w:t xml:space="preserve"> &lt;http://indialawjournal.com/volume3/issue_2/article_by_rushminsunny.html&gt;. </w:t>
      </w:r>
    </w:p>
  </w:footnote>
  <w:footnote w:id="35">
    <w:p w14:paraId="7FD1A0A6" w14:textId="0ADCAD35" w:rsidR="00D4791C" w:rsidRPr="006302E6" w:rsidRDefault="00D4791C" w:rsidP="00597BC1">
      <w:pPr>
        <w:jc w:val="both"/>
        <w:rPr>
          <w:rFonts w:ascii="Times New Roman" w:hAnsi="Times New Roman" w:cs="Times New Roman"/>
          <w:color w:val="000000" w:themeColor="text1"/>
          <w:sz w:val="20"/>
          <w:szCs w:val="20"/>
        </w:rPr>
      </w:pPr>
      <w:r w:rsidRPr="006302E6">
        <w:rPr>
          <w:rStyle w:val="FootnoteReference"/>
          <w:rFonts w:ascii="Times New Roman" w:hAnsi="Times New Roman" w:cs="Times New Roman"/>
          <w:color w:val="000000" w:themeColor="text1"/>
          <w:sz w:val="20"/>
          <w:szCs w:val="20"/>
        </w:rPr>
        <w:footnoteRef/>
      </w:r>
      <w:r w:rsidRPr="006302E6">
        <w:rPr>
          <w:rFonts w:ascii="Times New Roman" w:hAnsi="Times New Roman" w:cs="Times New Roman"/>
          <w:color w:val="000000" w:themeColor="text1"/>
          <w:sz w:val="20"/>
          <w:szCs w:val="20"/>
        </w:rPr>
        <w:t xml:space="preserve"> In the Act 5 of 2007, Other Backwards Classes were given the following statutory definition at Section 2(g): “’Other Backward Classes’ means the class or classes of citizens who are socially and educationally backward, and are so determined by the Central Government." </w:t>
      </w:r>
      <w:r w:rsidRPr="006302E6">
        <w:rPr>
          <w:rFonts w:ascii="Times New Roman" w:eastAsia="Times New Roman" w:hAnsi="Times New Roman" w:cs="Times New Roman"/>
          <w:sz w:val="20"/>
          <w:szCs w:val="20"/>
          <w:u w:val="single"/>
        </w:rPr>
        <w:t>Ashoka Kumar Thakur v Union of India</w:t>
      </w:r>
      <w:r w:rsidRPr="006302E6">
        <w:rPr>
          <w:rFonts w:ascii="Times New Roman" w:eastAsia="Times New Roman" w:hAnsi="Times New Roman" w:cs="Times New Roman"/>
          <w:sz w:val="20"/>
          <w:szCs w:val="20"/>
        </w:rPr>
        <w:t>, Writ Petition (civil) 265 of 2006 (Date of Judgment 10/04/2008), opinion of Chief Justice of India (“CJI”) K.G. Balakrishnan (“</w:t>
      </w:r>
      <w:r w:rsidRPr="006302E6">
        <w:rPr>
          <w:rFonts w:ascii="Times New Roman" w:eastAsia="Times New Roman" w:hAnsi="Times New Roman" w:cs="Times New Roman"/>
          <w:sz w:val="20"/>
          <w:szCs w:val="20"/>
          <w:u w:val="single"/>
        </w:rPr>
        <w:t>Ashoka</w:t>
      </w:r>
      <w:r w:rsidRPr="006302E6">
        <w:rPr>
          <w:rFonts w:ascii="Times New Roman" w:eastAsia="Times New Roman" w:hAnsi="Times New Roman" w:cs="Times New Roman"/>
          <w:sz w:val="20"/>
          <w:szCs w:val="20"/>
        </w:rPr>
        <w:t xml:space="preserve">”) at </w:t>
      </w:r>
      <w:r w:rsidRPr="006302E6">
        <w:rPr>
          <w:rFonts w:ascii="Times New Roman" w:eastAsia="Times New Roman" w:hAnsi="Times New Roman" w:cs="Times New Roman"/>
          <w:color w:val="222222"/>
          <w:sz w:val="20"/>
          <w:szCs w:val="20"/>
          <w:shd w:val="clear" w:color="auto" w:fill="FFFFFF"/>
        </w:rPr>
        <w:t>¶ 18.</w:t>
      </w:r>
    </w:p>
  </w:footnote>
  <w:footnote w:id="36">
    <w:p w14:paraId="4730B216" w14:textId="1B9E9E2C" w:rsidR="00D4791C" w:rsidRPr="006302E6" w:rsidRDefault="00D4791C" w:rsidP="000702BD">
      <w:pPr>
        <w:pStyle w:val="FootnoteText"/>
        <w:jc w:val="both"/>
        <w:rPr>
          <w:rFonts w:ascii="Times New Roman" w:hAnsi="Times New Roman" w:cs="Times New Roman"/>
          <w:color w:val="000000" w:themeColor="text1"/>
          <w:sz w:val="20"/>
          <w:szCs w:val="20"/>
        </w:rPr>
      </w:pPr>
      <w:r w:rsidRPr="006302E6">
        <w:rPr>
          <w:rStyle w:val="FootnoteReference"/>
          <w:rFonts w:ascii="Times New Roman" w:hAnsi="Times New Roman" w:cs="Times New Roman"/>
          <w:color w:val="000000" w:themeColor="text1"/>
          <w:sz w:val="20"/>
          <w:szCs w:val="20"/>
        </w:rPr>
        <w:footnoteRef/>
      </w:r>
      <w:r w:rsidRPr="006302E6">
        <w:rPr>
          <w:rFonts w:ascii="Times New Roman" w:hAnsi="Times New Roman" w:cs="Times New Roman"/>
          <w:color w:val="000000" w:themeColor="text1"/>
          <w:sz w:val="20"/>
          <w:szCs w:val="20"/>
        </w:rPr>
        <w:t xml:space="preserve"> http://indialawjournal.com/volume3/issue_2/article_by_rushminsunny.html</w:t>
      </w:r>
    </w:p>
  </w:footnote>
  <w:footnote w:id="37">
    <w:p w14:paraId="28FD92E7" w14:textId="25FCDFDD" w:rsidR="00D4791C" w:rsidRPr="006302E6" w:rsidRDefault="00D4791C" w:rsidP="000702BD">
      <w:pPr>
        <w:pStyle w:val="FootnoteText"/>
        <w:jc w:val="both"/>
        <w:rPr>
          <w:rFonts w:ascii="Times New Roman" w:hAnsi="Times New Roman" w:cs="Times New Roman"/>
          <w:sz w:val="20"/>
          <w:szCs w:val="20"/>
        </w:rPr>
      </w:pPr>
      <w:r w:rsidRPr="006302E6">
        <w:rPr>
          <w:rStyle w:val="FootnoteReference"/>
          <w:rFonts w:ascii="Times New Roman" w:hAnsi="Times New Roman" w:cs="Times New Roman"/>
          <w:color w:val="000000" w:themeColor="text1"/>
          <w:sz w:val="20"/>
          <w:szCs w:val="20"/>
        </w:rPr>
        <w:footnoteRef/>
      </w:r>
      <w:r w:rsidRPr="006302E6">
        <w:rPr>
          <w:rFonts w:ascii="Times New Roman" w:hAnsi="Times New Roman" w:cs="Times New Roman"/>
          <w:color w:val="000000" w:themeColor="text1"/>
          <w:sz w:val="20"/>
          <w:szCs w:val="20"/>
        </w:rPr>
        <w:t xml:space="preserve"> Pure caste-based discrimination would be </w:t>
      </w:r>
      <w:r w:rsidRPr="006302E6">
        <w:rPr>
          <w:rFonts w:ascii="Times New Roman" w:eastAsia="Times New Roman" w:hAnsi="Times New Roman" w:cs="Times New Roman"/>
          <w:color w:val="000000" w:themeColor="text1"/>
          <w:sz w:val="20"/>
          <w:szCs w:val="20"/>
        </w:rPr>
        <w:t xml:space="preserve">a violation of Article 29(2) of the Constitution. </w:t>
      </w:r>
      <w:r w:rsidRPr="006302E6">
        <w:rPr>
          <w:rFonts w:ascii="Times New Roman" w:hAnsi="Times New Roman" w:cs="Times New Roman"/>
          <w:color w:val="000000" w:themeColor="text1"/>
          <w:sz w:val="20"/>
          <w:szCs w:val="20"/>
          <w:u w:val="single"/>
        </w:rPr>
        <w:t>Ashoka</w:t>
      </w:r>
      <w:r w:rsidRPr="006302E6">
        <w:rPr>
          <w:rFonts w:ascii="Times New Roman" w:hAnsi="Times New Roman" w:cs="Times New Roman"/>
          <w:color w:val="000000" w:themeColor="text1"/>
          <w:sz w:val="20"/>
          <w:szCs w:val="20"/>
        </w:rPr>
        <w:t xml:space="preserve"> at </w:t>
      </w:r>
      <w:r w:rsidRPr="006302E6">
        <w:rPr>
          <w:rFonts w:ascii="Times New Roman" w:eastAsia="Times New Roman" w:hAnsi="Times New Roman" w:cs="Times New Roman"/>
          <w:color w:val="222222"/>
          <w:sz w:val="20"/>
          <w:szCs w:val="20"/>
          <w:shd w:val="clear" w:color="auto" w:fill="FFFFFF"/>
        </w:rPr>
        <w:t xml:space="preserve">¶ </w:t>
      </w:r>
      <w:r w:rsidRPr="006302E6">
        <w:rPr>
          <w:rFonts w:ascii="Times New Roman" w:hAnsi="Times New Roman" w:cs="Times New Roman"/>
          <w:color w:val="000000" w:themeColor="text1"/>
          <w:sz w:val="20"/>
          <w:szCs w:val="20"/>
        </w:rPr>
        <w:t>26.</w:t>
      </w:r>
      <w:r w:rsidRPr="006302E6">
        <w:rPr>
          <w:rFonts w:ascii="Times New Roman" w:hAnsi="Times New Roman" w:cs="Times New Roman"/>
          <w:sz w:val="20"/>
          <w:szCs w:val="20"/>
        </w:rPr>
        <w:t xml:space="preserve"> </w:t>
      </w:r>
    </w:p>
  </w:footnote>
  <w:footnote w:id="38">
    <w:p w14:paraId="2E03BF00" w14:textId="23B68F35" w:rsidR="00D4791C" w:rsidRPr="006302E6" w:rsidRDefault="00D4791C" w:rsidP="000702BD">
      <w:pPr>
        <w:jc w:val="both"/>
        <w:rPr>
          <w:rFonts w:ascii="Times New Roman" w:hAnsi="Times New Roman" w:cs="Times New Roman"/>
          <w:sz w:val="20"/>
          <w:szCs w:val="20"/>
        </w:rPr>
      </w:pPr>
      <w:r w:rsidRPr="006302E6">
        <w:rPr>
          <w:rStyle w:val="FootnoteReference"/>
          <w:rFonts w:ascii="Times New Roman" w:hAnsi="Times New Roman" w:cs="Times New Roman"/>
          <w:sz w:val="20"/>
          <w:szCs w:val="20"/>
        </w:rPr>
        <w:footnoteRef/>
      </w:r>
      <w:r w:rsidRPr="006302E6">
        <w:rPr>
          <w:rFonts w:ascii="Times New Roman" w:hAnsi="Times New Roman" w:cs="Times New Roman"/>
          <w:sz w:val="20"/>
          <w:szCs w:val="20"/>
        </w:rPr>
        <w:t xml:space="preserve"> “A legislation passed by the Parliament can be challenged only on constitutionally recognized grounds. Ordinarily, grounds of attack of a legislation </w:t>
      </w:r>
      <w:proofErr w:type="gramStart"/>
      <w:r w:rsidRPr="006302E6">
        <w:rPr>
          <w:rFonts w:ascii="Times New Roman" w:hAnsi="Times New Roman" w:cs="Times New Roman"/>
          <w:sz w:val="20"/>
          <w:szCs w:val="20"/>
        </w:rPr>
        <w:t>is</w:t>
      </w:r>
      <w:proofErr w:type="gramEnd"/>
      <w:r w:rsidRPr="006302E6">
        <w:rPr>
          <w:rFonts w:ascii="Times New Roman" w:hAnsi="Times New Roman" w:cs="Times New Roman"/>
          <w:sz w:val="20"/>
          <w:szCs w:val="20"/>
        </w:rPr>
        <w:t xml:space="preserve"> whether the legislature has legislative competence or whether the legislation is </w:t>
      </w:r>
      <w:r w:rsidRPr="00813AA7">
        <w:rPr>
          <w:rFonts w:ascii="Times New Roman" w:hAnsi="Times New Roman" w:cs="Times New Roman"/>
          <w:i/>
          <w:sz w:val="20"/>
          <w:szCs w:val="20"/>
        </w:rPr>
        <w:t>ultra vires</w:t>
      </w:r>
      <w:r w:rsidRPr="006302E6">
        <w:rPr>
          <w:rFonts w:ascii="Times New Roman" w:hAnsi="Times New Roman" w:cs="Times New Roman"/>
          <w:sz w:val="20"/>
          <w:szCs w:val="20"/>
        </w:rPr>
        <w:t xml:space="preserve"> of the provisions of the Constitution. If any of the provisions of the legislation violates fundamental rights or any other provisions of the Constitution, it could certainly be a valid ground to set aside the legislation by invoking the power of judicial review.” </w:t>
      </w:r>
      <w:r w:rsidRPr="006302E6">
        <w:rPr>
          <w:rFonts w:ascii="Times New Roman" w:hAnsi="Times New Roman" w:cs="Times New Roman"/>
          <w:sz w:val="20"/>
          <w:szCs w:val="20"/>
          <w:u w:val="single"/>
        </w:rPr>
        <w:t>Ashoka</w:t>
      </w:r>
      <w:r w:rsidRPr="006302E6">
        <w:rPr>
          <w:rFonts w:ascii="Times New Roman" w:hAnsi="Times New Roman" w:cs="Times New Roman"/>
          <w:sz w:val="20"/>
          <w:szCs w:val="20"/>
        </w:rPr>
        <w:t xml:space="preserve"> at </w:t>
      </w:r>
      <w:r w:rsidRPr="006302E6">
        <w:rPr>
          <w:rFonts w:ascii="Times New Roman" w:eastAsia="Times New Roman" w:hAnsi="Times New Roman" w:cs="Times New Roman"/>
          <w:color w:val="222222"/>
          <w:sz w:val="20"/>
          <w:szCs w:val="20"/>
          <w:shd w:val="clear" w:color="auto" w:fill="FFFFFF"/>
        </w:rPr>
        <w:t>¶</w:t>
      </w:r>
      <w:r w:rsidRPr="006302E6">
        <w:rPr>
          <w:rFonts w:ascii="Times New Roman" w:hAnsi="Times New Roman" w:cs="Times New Roman"/>
          <w:sz w:val="20"/>
          <w:szCs w:val="20"/>
        </w:rPr>
        <w:t xml:space="preserve"> 191.</w:t>
      </w:r>
    </w:p>
  </w:footnote>
  <w:footnote w:id="39">
    <w:p w14:paraId="1AC7819F" w14:textId="29618A67" w:rsidR="00D4791C" w:rsidRPr="006302E6" w:rsidRDefault="00D4791C" w:rsidP="000702BD">
      <w:pPr>
        <w:pStyle w:val="FootnoteText"/>
        <w:jc w:val="both"/>
        <w:rPr>
          <w:rFonts w:ascii="Times New Roman" w:hAnsi="Times New Roman" w:cs="Times New Roman"/>
          <w:sz w:val="20"/>
          <w:szCs w:val="20"/>
        </w:rPr>
      </w:pPr>
      <w:r w:rsidRPr="006302E6">
        <w:rPr>
          <w:rStyle w:val="FootnoteReference"/>
          <w:rFonts w:ascii="Times New Roman" w:hAnsi="Times New Roman" w:cs="Times New Roman"/>
          <w:sz w:val="20"/>
          <w:szCs w:val="20"/>
        </w:rPr>
        <w:footnoteRef/>
      </w:r>
      <w:r w:rsidRPr="006302E6">
        <w:rPr>
          <w:rFonts w:ascii="Times New Roman" w:hAnsi="Times New Roman" w:cs="Times New Roman"/>
          <w:sz w:val="20"/>
          <w:szCs w:val="20"/>
        </w:rPr>
        <w:t xml:space="preserve"> </w:t>
      </w:r>
      <w:r w:rsidRPr="006302E6">
        <w:rPr>
          <w:rFonts w:ascii="Times New Roman" w:hAnsi="Times New Roman" w:cs="Times New Roman"/>
          <w:sz w:val="20"/>
          <w:szCs w:val="20"/>
          <w:u w:val="single"/>
        </w:rPr>
        <w:t>Ashoka</w:t>
      </w:r>
      <w:r w:rsidRPr="006302E6">
        <w:rPr>
          <w:rFonts w:ascii="Times New Roman" w:hAnsi="Times New Roman" w:cs="Times New Roman"/>
          <w:sz w:val="20"/>
          <w:szCs w:val="20"/>
        </w:rPr>
        <w:t xml:space="preserve"> at </w:t>
      </w:r>
      <w:r w:rsidRPr="006302E6">
        <w:rPr>
          <w:rFonts w:ascii="Times New Roman" w:eastAsia="Times New Roman" w:hAnsi="Times New Roman" w:cs="Times New Roman"/>
          <w:color w:val="222222"/>
          <w:sz w:val="20"/>
          <w:szCs w:val="20"/>
          <w:shd w:val="clear" w:color="auto" w:fill="FFFFFF"/>
        </w:rPr>
        <w:t>¶</w:t>
      </w:r>
      <w:r w:rsidRPr="006302E6">
        <w:rPr>
          <w:rFonts w:ascii="Times New Roman" w:hAnsi="Times New Roman" w:cs="Times New Roman"/>
          <w:sz w:val="20"/>
          <w:szCs w:val="20"/>
        </w:rPr>
        <w:t xml:space="preserve"> 26. </w:t>
      </w:r>
    </w:p>
  </w:footnote>
  <w:footnote w:id="40">
    <w:p w14:paraId="19F49E0F" w14:textId="24F94D64" w:rsidR="00D4791C" w:rsidRPr="001021E2" w:rsidRDefault="00D4791C" w:rsidP="000702BD">
      <w:pPr>
        <w:pStyle w:val="FootnoteText"/>
        <w:jc w:val="both"/>
        <w:rPr>
          <w:rFonts w:ascii="Times New Roman" w:hAnsi="Times New Roman" w:cs="Times New Roman"/>
          <w:sz w:val="20"/>
          <w:szCs w:val="20"/>
        </w:rPr>
      </w:pPr>
      <w:r w:rsidRPr="006302E6">
        <w:rPr>
          <w:rStyle w:val="FootnoteReference"/>
          <w:rFonts w:ascii="Times New Roman" w:hAnsi="Times New Roman" w:cs="Times New Roman"/>
          <w:sz w:val="20"/>
          <w:szCs w:val="20"/>
        </w:rPr>
        <w:footnoteRef/>
      </w:r>
      <w:r w:rsidRPr="006302E6">
        <w:rPr>
          <w:rFonts w:ascii="Times New Roman" w:hAnsi="Times New Roman" w:cs="Times New Roman"/>
          <w:sz w:val="20"/>
          <w:szCs w:val="20"/>
        </w:rPr>
        <w:t xml:space="preserve"> </w:t>
      </w:r>
      <w:r w:rsidRPr="006302E6">
        <w:rPr>
          <w:rFonts w:ascii="Times New Roman" w:eastAsia="Times New Roman" w:hAnsi="Times New Roman" w:cs="Times New Roman"/>
          <w:sz w:val="20"/>
          <w:szCs w:val="20"/>
        </w:rPr>
        <w:t xml:space="preserve">This is similar to how a Constitutional challenge to an affirmative action policy would work in the US; it would be argued that a classification based on race violated the guarantee of “equal protection of the laws.” </w:t>
      </w:r>
    </w:p>
  </w:footnote>
  <w:footnote w:id="41">
    <w:p w14:paraId="10B01DB3" w14:textId="13AED24C" w:rsidR="00D4791C" w:rsidRPr="009A59BA" w:rsidRDefault="00D4791C" w:rsidP="00813AA7">
      <w:pPr>
        <w:pStyle w:val="FootnoteText"/>
        <w:jc w:val="both"/>
        <w:rPr>
          <w:rFonts w:ascii="Times New Roman" w:hAnsi="Times New Roman" w:cs="Times New Roman"/>
          <w:sz w:val="20"/>
          <w:szCs w:val="20"/>
        </w:rPr>
      </w:pPr>
      <w:r w:rsidRPr="009A59BA">
        <w:rPr>
          <w:rStyle w:val="FootnoteReference"/>
          <w:rFonts w:ascii="Times New Roman" w:hAnsi="Times New Roman" w:cs="Times New Roman"/>
          <w:sz w:val="20"/>
          <w:szCs w:val="20"/>
        </w:rPr>
        <w:footnoteRef/>
      </w:r>
      <w:r w:rsidRPr="009A59BA">
        <w:rPr>
          <w:rFonts w:ascii="Times New Roman" w:hAnsi="Times New Roman" w:cs="Times New Roman"/>
          <w:sz w:val="20"/>
          <w:szCs w:val="20"/>
        </w:rPr>
        <w:t xml:space="preserve"> “We are conscious of the fact that any reservation or preference shall not lead to reverse discrimination.” </w:t>
      </w:r>
      <w:r w:rsidRPr="00597BC1">
        <w:rPr>
          <w:rFonts w:ascii="Times New Roman" w:hAnsi="Times New Roman" w:cs="Times New Roman"/>
          <w:sz w:val="20"/>
          <w:szCs w:val="20"/>
          <w:u w:val="single"/>
        </w:rPr>
        <w:t>Ashoka</w:t>
      </w:r>
      <w:r>
        <w:rPr>
          <w:rFonts w:ascii="Times New Roman" w:hAnsi="Times New Roman" w:cs="Times New Roman"/>
          <w:sz w:val="20"/>
          <w:szCs w:val="20"/>
          <w:u w:val="single"/>
        </w:rPr>
        <w:t xml:space="preserve"> </w:t>
      </w:r>
      <w:r w:rsidRPr="00597BC1">
        <w:rPr>
          <w:rFonts w:ascii="Times New Roman" w:hAnsi="Times New Roman" w:cs="Times New Roman"/>
          <w:sz w:val="20"/>
          <w:szCs w:val="20"/>
        </w:rPr>
        <w:t>at</w:t>
      </w:r>
      <w:r>
        <w:rPr>
          <w:rFonts w:ascii="Times New Roman" w:hAnsi="Times New Roman" w:cs="Times New Roman"/>
          <w:sz w:val="20"/>
          <w:szCs w:val="20"/>
        </w:rPr>
        <w:t xml:space="preserve"> </w:t>
      </w:r>
      <w:r w:rsidRPr="00597BC1">
        <w:rPr>
          <w:rFonts w:ascii="Times New Roman" w:eastAsia="Times New Roman" w:hAnsi="Times New Roman" w:cs="Times New Roman"/>
          <w:color w:val="222222"/>
          <w:sz w:val="20"/>
          <w:szCs w:val="20"/>
          <w:shd w:val="clear" w:color="auto" w:fill="FFFFFF"/>
        </w:rPr>
        <w:t>¶</w:t>
      </w:r>
      <w:r>
        <w:rPr>
          <w:rFonts w:ascii="Times New Roman" w:eastAsia="Times New Roman" w:hAnsi="Times New Roman" w:cs="Times New Roman"/>
          <w:color w:val="222222"/>
          <w:sz w:val="20"/>
          <w:szCs w:val="20"/>
          <w:shd w:val="clear" w:color="auto" w:fill="FFFFFF"/>
        </w:rPr>
        <w:t xml:space="preserve"> </w:t>
      </w:r>
      <w:r w:rsidRPr="009A59BA">
        <w:rPr>
          <w:rFonts w:ascii="Times New Roman" w:hAnsi="Times New Roman" w:cs="Times New Roman"/>
          <w:sz w:val="20"/>
          <w:szCs w:val="20"/>
        </w:rPr>
        <w:t xml:space="preserve">9. </w:t>
      </w:r>
    </w:p>
  </w:footnote>
  <w:footnote w:id="42">
    <w:p w14:paraId="70A3C3DD" w14:textId="67B18423" w:rsidR="00D4791C" w:rsidRPr="009A59BA" w:rsidRDefault="00D4791C" w:rsidP="00813AA7">
      <w:pPr>
        <w:pStyle w:val="FootnoteText"/>
        <w:jc w:val="both"/>
        <w:rPr>
          <w:rFonts w:ascii="Times New Roman" w:hAnsi="Times New Roman" w:cs="Times New Roman"/>
          <w:sz w:val="20"/>
          <w:szCs w:val="20"/>
        </w:rPr>
      </w:pPr>
      <w:r w:rsidRPr="009A59BA">
        <w:rPr>
          <w:rStyle w:val="FootnoteReference"/>
          <w:rFonts w:ascii="Times New Roman" w:hAnsi="Times New Roman" w:cs="Times New Roman"/>
          <w:sz w:val="20"/>
          <w:szCs w:val="20"/>
        </w:rPr>
        <w:footnoteRef/>
      </w:r>
      <w:r w:rsidRPr="009A59BA">
        <w:rPr>
          <w:rFonts w:ascii="Times New Roman" w:hAnsi="Times New Roman" w:cs="Times New Roman"/>
          <w:sz w:val="20"/>
          <w:szCs w:val="20"/>
        </w:rPr>
        <w:t xml:space="preserve"> </w:t>
      </w:r>
      <w:r w:rsidRPr="009A59BA">
        <w:rPr>
          <w:rFonts w:ascii="Times New Roman" w:eastAsia="Times New Roman" w:hAnsi="Times New Roman" w:cs="Times New Roman"/>
          <w:sz w:val="20"/>
          <w:szCs w:val="20"/>
        </w:rPr>
        <w:t xml:space="preserve">“Reservation is one of the many tools that are used to preserve and promote the essence of equality, so that disadvantaged groups can be brought to the forefront of civil life. It is also the duty of the State to promote positive measures to remove barriers of inequality and enable diverse communities to enjoy the freedoms and share the benefits guaranteed by the Constitution.” </w:t>
      </w:r>
      <w:r w:rsidRPr="00597BC1">
        <w:rPr>
          <w:rFonts w:ascii="Times New Roman" w:hAnsi="Times New Roman" w:cs="Times New Roman"/>
          <w:sz w:val="20"/>
          <w:szCs w:val="20"/>
          <w:u w:val="single"/>
        </w:rPr>
        <w:t>Ashoka</w:t>
      </w:r>
      <w:r>
        <w:rPr>
          <w:rFonts w:ascii="Times New Roman" w:hAnsi="Times New Roman" w:cs="Times New Roman"/>
          <w:sz w:val="20"/>
          <w:szCs w:val="20"/>
          <w:u w:val="single"/>
        </w:rPr>
        <w:t xml:space="preserve"> </w:t>
      </w:r>
      <w:r w:rsidRPr="00597BC1">
        <w:rPr>
          <w:rFonts w:ascii="Times New Roman" w:hAnsi="Times New Roman" w:cs="Times New Roman"/>
          <w:sz w:val="20"/>
          <w:szCs w:val="20"/>
        </w:rPr>
        <w:t>at</w:t>
      </w:r>
      <w:r>
        <w:rPr>
          <w:rFonts w:ascii="Times New Roman" w:hAnsi="Times New Roman" w:cs="Times New Roman"/>
          <w:sz w:val="20"/>
          <w:szCs w:val="20"/>
        </w:rPr>
        <w:t xml:space="preserve"> </w:t>
      </w:r>
      <w:r w:rsidRPr="00597BC1">
        <w:rPr>
          <w:rFonts w:ascii="Times New Roman" w:eastAsia="Times New Roman" w:hAnsi="Times New Roman" w:cs="Times New Roman"/>
          <w:color w:val="222222"/>
          <w:sz w:val="20"/>
          <w:szCs w:val="20"/>
          <w:shd w:val="clear" w:color="auto" w:fill="FFFFFF"/>
        </w:rPr>
        <w:t>¶</w:t>
      </w:r>
      <w:r>
        <w:rPr>
          <w:rFonts w:ascii="Times New Roman" w:eastAsia="Times New Roman" w:hAnsi="Times New Roman" w:cs="Times New Roman"/>
          <w:color w:val="222222"/>
          <w:sz w:val="20"/>
          <w:szCs w:val="20"/>
          <w:shd w:val="clear" w:color="auto" w:fill="FFFFFF"/>
        </w:rPr>
        <w:t xml:space="preserve"> </w:t>
      </w:r>
      <w:r w:rsidRPr="009A59BA">
        <w:rPr>
          <w:rFonts w:ascii="Times New Roman" w:eastAsia="Times New Roman" w:hAnsi="Times New Roman" w:cs="Times New Roman"/>
          <w:sz w:val="20"/>
          <w:szCs w:val="20"/>
        </w:rPr>
        <w:t xml:space="preserve">6. </w:t>
      </w:r>
    </w:p>
  </w:footnote>
  <w:footnote w:id="43">
    <w:p w14:paraId="076E8B2F" w14:textId="3F5E8B19" w:rsidR="00D4791C" w:rsidRPr="009A59BA" w:rsidRDefault="00D4791C" w:rsidP="00813AA7">
      <w:pPr>
        <w:pStyle w:val="FootnoteText"/>
        <w:jc w:val="both"/>
        <w:rPr>
          <w:rFonts w:ascii="Times New Roman" w:hAnsi="Times New Roman" w:cs="Times New Roman"/>
          <w:sz w:val="20"/>
          <w:szCs w:val="20"/>
        </w:rPr>
      </w:pPr>
      <w:r w:rsidRPr="009A59BA">
        <w:rPr>
          <w:rStyle w:val="FootnoteReference"/>
          <w:rFonts w:ascii="Times New Roman" w:hAnsi="Times New Roman" w:cs="Times New Roman"/>
          <w:sz w:val="20"/>
          <w:szCs w:val="20"/>
        </w:rPr>
        <w:footnoteRef/>
      </w:r>
      <w:r w:rsidRPr="009A59BA">
        <w:rPr>
          <w:rFonts w:ascii="Times New Roman" w:hAnsi="Times New Roman" w:cs="Times New Roman"/>
          <w:sz w:val="20"/>
          <w:szCs w:val="20"/>
        </w:rPr>
        <w:t xml:space="preserve"> “Existence of equality depends not merely on the absence of disabilities but on the presence of disabilities. To achieve it, differential treatment of persons who are unequal is permissible. This is what is styled as compensatory discrimination or affirmative action.” </w:t>
      </w:r>
      <w:r w:rsidRPr="00597BC1">
        <w:rPr>
          <w:rFonts w:ascii="Times New Roman" w:hAnsi="Times New Roman" w:cs="Times New Roman"/>
          <w:sz w:val="20"/>
          <w:szCs w:val="20"/>
          <w:u w:val="single"/>
        </w:rPr>
        <w:t>Ashoka</w:t>
      </w:r>
      <w:r>
        <w:rPr>
          <w:rFonts w:ascii="Times New Roman" w:hAnsi="Times New Roman" w:cs="Times New Roman"/>
          <w:sz w:val="20"/>
          <w:szCs w:val="20"/>
          <w:u w:val="single"/>
        </w:rPr>
        <w:t xml:space="preserve"> </w:t>
      </w:r>
      <w:r w:rsidRPr="00597BC1">
        <w:rPr>
          <w:rFonts w:ascii="Times New Roman" w:hAnsi="Times New Roman" w:cs="Times New Roman"/>
          <w:sz w:val="20"/>
          <w:szCs w:val="20"/>
        </w:rPr>
        <w:t>at</w:t>
      </w:r>
      <w:r>
        <w:rPr>
          <w:rFonts w:ascii="Times New Roman" w:hAnsi="Times New Roman" w:cs="Times New Roman"/>
          <w:sz w:val="20"/>
          <w:szCs w:val="20"/>
        </w:rPr>
        <w:t xml:space="preserve"> </w:t>
      </w:r>
      <w:r w:rsidRPr="00597BC1">
        <w:rPr>
          <w:rFonts w:ascii="Times New Roman" w:eastAsia="Times New Roman" w:hAnsi="Times New Roman" w:cs="Times New Roman"/>
          <w:color w:val="222222"/>
          <w:sz w:val="20"/>
          <w:szCs w:val="20"/>
          <w:shd w:val="clear" w:color="auto" w:fill="FFFFFF"/>
        </w:rPr>
        <w:t>¶</w:t>
      </w:r>
      <w:r>
        <w:rPr>
          <w:rFonts w:ascii="Times New Roman" w:eastAsia="Times New Roman" w:hAnsi="Times New Roman" w:cs="Times New Roman"/>
          <w:color w:val="222222"/>
          <w:sz w:val="20"/>
          <w:szCs w:val="20"/>
          <w:shd w:val="clear" w:color="auto" w:fill="FFFFFF"/>
        </w:rPr>
        <w:t xml:space="preserve"> </w:t>
      </w:r>
      <w:r w:rsidRPr="009A59BA">
        <w:rPr>
          <w:rFonts w:ascii="Times New Roman" w:hAnsi="Times New Roman" w:cs="Times New Roman"/>
          <w:sz w:val="20"/>
          <w:szCs w:val="20"/>
        </w:rPr>
        <w:t xml:space="preserve">117. </w:t>
      </w:r>
    </w:p>
  </w:footnote>
  <w:footnote w:id="44">
    <w:p w14:paraId="3365A657" w14:textId="53583ED9" w:rsidR="00D4791C" w:rsidRPr="009A59BA" w:rsidRDefault="00D4791C" w:rsidP="00813AA7">
      <w:pPr>
        <w:jc w:val="both"/>
        <w:rPr>
          <w:rFonts w:ascii="Times New Roman" w:eastAsia="Times New Roman" w:hAnsi="Times New Roman" w:cs="Times New Roman"/>
          <w:sz w:val="20"/>
          <w:szCs w:val="20"/>
        </w:rPr>
      </w:pPr>
      <w:r w:rsidRPr="009A59BA">
        <w:rPr>
          <w:rStyle w:val="FootnoteReference"/>
          <w:rFonts w:ascii="Times New Roman" w:hAnsi="Times New Roman" w:cs="Times New Roman"/>
          <w:sz w:val="20"/>
          <w:szCs w:val="20"/>
        </w:rPr>
        <w:footnoteRef/>
      </w:r>
      <w:r w:rsidRPr="009A59BA">
        <w:rPr>
          <w:rFonts w:ascii="Times New Roman" w:hAnsi="Times New Roman" w:cs="Times New Roman"/>
          <w:sz w:val="20"/>
          <w:szCs w:val="20"/>
        </w:rPr>
        <w:t xml:space="preserve"> </w:t>
      </w:r>
      <w:r w:rsidRPr="00B740CF">
        <w:rPr>
          <w:rFonts w:ascii="Times New Roman" w:hAnsi="Times New Roman" w:cs="Times New Roman"/>
          <w:i/>
          <w:sz w:val="20"/>
          <w:szCs w:val="20"/>
        </w:rPr>
        <w:t>See</w:t>
      </w:r>
      <w:r>
        <w:rPr>
          <w:rFonts w:ascii="Times New Roman" w:hAnsi="Times New Roman" w:cs="Times New Roman"/>
          <w:sz w:val="20"/>
          <w:szCs w:val="20"/>
        </w:rPr>
        <w:t xml:space="preserve"> </w:t>
      </w:r>
      <w:r w:rsidRPr="004B6FF2">
        <w:rPr>
          <w:rFonts w:ascii="Times New Roman" w:hAnsi="Times New Roman" w:cs="Times New Roman"/>
          <w:sz w:val="20"/>
          <w:szCs w:val="20"/>
          <w:u w:val="single"/>
        </w:rPr>
        <w:t>Constitution of India</w:t>
      </w:r>
      <w:r w:rsidRPr="009A59BA">
        <w:rPr>
          <w:rFonts w:ascii="Times New Roman" w:hAnsi="Times New Roman" w:cs="Times New Roman"/>
          <w:sz w:val="20"/>
          <w:szCs w:val="20"/>
        </w:rPr>
        <w:t xml:space="preserve">, Articles 38(1) and (2) “The State shall strive to promote the welfare of the people by securing and protecting as effectively as it may a social order in which justice, social, economic and political, shall inform all the institutions of the national life. [] The State shall, in particular, strive to </w:t>
      </w:r>
      <w:proofErr w:type="spellStart"/>
      <w:r w:rsidRPr="009A59BA">
        <w:rPr>
          <w:rFonts w:ascii="Times New Roman" w:hAnsi="Times New Roman" w:cs="Times New Roman"/>
          <w:sz w:val="20"/>
          <w:szCs w:val="20"/>
        </w:rPr>
        <w:t>minimise</w:t>
      </w:r>
      <w:proofErr w:type="spellEnd"/>
      <w:r w:rsidRPr="009A59BA">
        <w:rPr>
          <w:rFonts w:ascii="Times New Roman" w:hAnsi="Times New Roman" w:cs="Times New Roman"/>
          <w:sz w:val="20"/>
          <w:szCs w:val="20"/>
        </w:rPr>
        <w:t xml:space="preserve"> the inequalities in income, and </w:t>
      </w:r>
      <w:proofErr w:type="spellStart"/>
      <w:r w:rsidRPr="009A59BA">
        <w:rPr>
          <w:rFonts w:ascii="Times New Roman" w:hAnsi="Times New Roman" w:cs="Times New Roman"/>
          <w:sz w:val="20"/>
          <w:szCs w:val="20"/>
        </w:rPr>
        <w:t>endeavour</w:t>
      </w:r>
      <w:proofErr w:type="spellEnd"/>
      <w:r w:rsidRPr="009A59BA">
        <w:rPr>
          <w:rFonts w:ascii="Times New Roman" w:hAnsi="Times New Roman" w:cs="Times New Roman"/>
          <w:sz w:val="20"/>
          <w:szCs w:val="20"/>
        </w:rPr>
        <w:t xml:space="preserve"> to eliminate inequalities in status, facilities and opportunities, not only amongst individuals but also amongst groups of people residing in different areas or engaged in different vocations.” </w:t>
      </w:r>
    </w:p>
  </w:footnote>
  <w:footnote w:id="45">
    <w:p w14:paraId="75502059" w14:textId="0F7FCEA4" w:rsidR="00D4791C" w:rsidRPr="009A59BA" w:rsidRDefault="00D4791C" w:rsidP="00542935">
      <w:pPr>
        <w:pStyle w:val="FootnoteText"/>
        <w:jc w:val="both"/>
        <w:rPr>
          <w:rFonts w:ascii="Times New Roman" w:hAnsi="Times New Roman" w:cs="Times New Roman"/>
          <w:sz w:val="20"/>
          <w:szCs w:val="20"/>
        </w:rPr>
      </w:pPr>
      <w:r w:rsidRPr="009A59BA">
        <w:rPr>
          <w:rStyle w:val="FootnoteReference"/>
          <w:rFonts w:ascii="Times New Roman" w:hAnsi="Times New Roman" w:cs="Times New Roman"/>
          <w:sz w:val="20"/>
          <w:szCs w:val="20"/>
        </w:rPr>
        <w:footnoteRef/>
      </w:r>
      <w:r w:rsidRPr="009A59BA">
        <w:rPr>
          <w:rFonts w:ascii="Times New Roman" w:hAnsi="Times New Roman" w:cs="Times New Roman"/>
          <w:sz w:val="20"/>
          <w:szCs w:val="20"/>
        </w:rPr>
        <w:t xml:space="preserve"> For example, there is an affinity between race-based classification in the US and caste-based classification in India. </w:t>
      </w:r>
      <w:r w:rsidRPr="009A59BA">
        <w:rPr>
          <w:rFonts w:ascii="Times New Roman" w:eastAsia="Times New Roman" w:hAnsi="Times New Roman" w:cs="Times New Roman"/>
          <w:sz w:val="20"/>
          <w:szCs w:val="20"/>
        </w:rPr>
        <w:t>An affirmative action program based solely on caste would be prohibited by the Constitution of India.</w:t>
      </w:r>
      <w:r w:rsidRPr="009A59BA">
        <w:rPr>
          <w:rFonts w:ascii="Times New Roman" w:hAnsi="Times New Roman" w:cs="Times New Roman"/>
          <w:sz w:val="20"/>
          <w:szCs w:val="20"/>
        </w:rPr>
        <w:t xml:space="preserve"> </w:t>
      </w:r>
      <w:r w:rsidRPr="00597BC1">
        <w:rPr>
          <w:rFonts w:ascii="Times New Roman" w:hAnsi="Times New Roman" w:cs="Times New Roman"/>
          <w:sz w:val="20"/>
          <w:szCs w:val="20"/>
          <w:u w:val="single"/>
        </w:rPr>
        <w:t>Ashoka</w:t>
      </w:r>
      <w:r>
        <w:rPr>
          <w:rFonts w:ascii="Times New Roman" w:hAnsi="Times New Roman" w:cs="Times New Roman"/>
          <w:sz w:val="20"/>
          <w:szCs w:val="20"/>
          <w:u w:val="single"/>
        </w:rPr>
        <w:t xml:space="preserve"> </w:t>
      </w:r>
      <w:r w:rsidRPr="00597BC1">
        <w:rPr>
          <w:rFonts w:ascii="Times New Roman" w:hAnsi="Times New Roman" w:cs="Times New Roman"/>
          <w:sz w:val="20"/>
          <w:szCs w:val="20"/>
        </w:rPr>
        <w:t>at</w:t>
      </w:r>
      <w:r>
        <w:rPr>
          <w:rFonts w:ascii="Times New Roman" w:hAnsi="Times New Roman" w:cs="Times New Roman"/>
          <w:sz w:val="20"/>
          <w:szCs w:val="20"/>
        </w:rPr>
        <w:t xml:space="preserve"> </w:t>
      </w:r>
      <w:r w:rsidRPr="00597BC1">
        <w:rPr>
          <w:rFonts w:ascii="Times New Roman" w:eastAsia="Times New Roman" w:hAnsi="Times New Roman" w:cs="Times New Roman"/>
          <w:color w:val="222222"/>
          <w:sz w:val="20"/>
          <w:szCs w:val="20"/>
          <w:shd w:val="clear" w:color="auto" w:fill="FFFFFF"/>
        </w:rPr>
        <w:t>¶</w:t>
      </w:r>
      <w:r>
        <w:rPr>
          <w:rFonts w:ascii="Times New Roman" w:eastAsia="Times New Roman" w:hAnsi="Times New Roman" w:cs="Times New Roman"/>
          <w:color w:val="222222"/>
          <w:sz w:val="20"/>
          <w:szCs w:val="20"/>
          <w:shd w:val="clear" w:color="auto" w:fill="FFFFFF"/>
        </w:rPr>
        <w:t xml:space="preserve"> </w:t>
      </w:r>
      <w:r w:rsidRPr="009A59BA">
        <w:rPr>
          <w:rFonts w:ascii="Times New Roman" w:hAnsi="Times New Roman" w:cs="Times New Roman"/>
          <w:sz w:val="20"/>
          <w:szCs w:val="20"/>
        </w:rPr>
        <w:t xml:space="preserve">180. </w:t>
      </w:r>
      <w:r w:rsidRPr="009A59BA">
        <w:rPr>
          <w:rFonts w:ascii="Times New Roman" w:eastAsia="Times New Roman" w:hAnsi="Times New Roman" w:cs="Times New Roman"/>
          <w:sz w:val="20"/>
          <w:szCs w:val="20"/>
        </w:rPr>
        <w:t xml:space="preserve">However, this prohibition does not extend to reservations for the socially and educationally backward classes. This is because castes and social classes are different in kind. </w:t>
      </w:r>
      <w:r w:rsidRPr="009A59BA">
        <w:rPr>
          <w:rFonts w:ascii="Times New Roman" w:hAnsi="Times New Roman" w:cs="Times New Roman"/>
          <w:sz w:val="20"/>
          <w:szCs w:val="20"/>
        </w:rPr>
        <w:t xml:space="preserve">“A social class is </w:t>
      </w:r>
      <w:proofErr w:type="gramStart"/>
      <w:r>
        <w:rPr>
          <w:rFonts w:ascii="Times New Roman" w:hAnsi="Times New Roman" w:cs="Times New Roman"/>
          <w:sz w:val="20"/>
          <w:szCs w:val="20"/>
        </w:rPr>
        <w:t>[ ]</w:t>
      </w:r>
      <w:proofErr w:type="gramEnd"/>
      <w:r w:rsidRPr="009A59BA">
        <w:rPr>
          <w:rFonts w:ascii="Times New Roman" w:hAnsi="Times New Roman" w:cs="Times New Roman"/>
          <w:sz w:val="20"/>
          <w:szCs w:val="20"/>
        </w:rPr>
        <w:t xml:space="preserve"> a homogeneous unit, from the point of view of status and mutual </w:t>
      </w:r>
      <w:proofErr w:type="gramStart"/>
      <w:r w:rsidRPr="009A59BA">
        <w:rPr>
          <w:rFonts w:ascii="Times New Roman" w:hAnsi="Times New Roman" w:cs="Times New Roman"/>
          <w:sz w:val="20"/>
          <w:szCs w:val="20"/>
        </w:rPr>
        <w:t>recognition;</w:t>
      </w:r>
      <w:proofErr w:type="gramEnd"/>
      <w:r w:rsidRPr="009A59BA">
        <w:rPr>
          <w:rFonts w:ascii="Times New Roman" w:hAnsi="Times New Roman" w:cs="Times New Roman"/>
          <w:sz w:val="20"/>
          <w:szCs w:val="20"/>
        </w:rPr>
        <w:t xml:space="preserve"> whereas a caste is a homogeneous unit from the point of view of common ancestry, religious rites and strict organizational control. Thus the manner in which the caste is closed both in the organizational and biological sense causes it to differ from social class.” </w:t>
      </w:r>
      <w:r w:rsidRPr="00597BC1">
        <w:rPr>
          <w:rFonts w:ascii="Times New Roman" w:hAnsi="Times New Roman" w:cs="Times New Roman"/>
          <w:sz w:val="20"/>
          <w:szCs w:val="20"/>
          <w:u w:val="single"/>
        </w:rPr>
        <w:t>Ashoka</w:t>
      </w:r>
      <w:r>
        <w:rPr>
          <w:rFonts w:ascii="Times New Roman" w:hAnsi="Times New Roman" w:cs="Times New Roman"/>
          <w:sz w:val="20"/>
          <w:szCs w:val="20"/>
          <w:u w:val="single"/>
        </w:rPr>
        <w:t xml:space="preserve"> </w:t>
      </w:r>
      <w:r w:rsidRPr="00597BC1">
        <w:rPr>
          <w:rFonts w:ascii="Times New Roman" w:hAnsi="Times New Roman" w:cs="Times New Roman"/>
          <w:sz w:val="20"/>
          <w:szCs w:val="20"/>
        </w:rPr>
        <w:t>at</w:t>
      </w:r>
      <w:r>
        <w:rPr>
          <w:rFonts w:ascii="Times New Roman" w:hAnsi="Times New Roman" w:cs="Times New Roman"/>
          <w:sz w:val="20"/>
          <w:szCs w:val="20"/>
        </w:rPr>
        <w:t xml:space="preserve"> </w:t>
      </w:r>
      <w:r w:rsidRPr="00597BC1">
        <w:rPr>
          <w:rFonts w:ascii="Times New Roman" w:eastAsia="Times New Roman" w:hAnsi="Times New Roman" w:cs="Times New Roman"/>
          <w:color w:val="222222"/>
          <w:sz w:val="20"/>
          <w:szCs w:val="20"/>
          <w:shd w:val="clear" w:color="auto" w:fill="FFFFFF"/>
        </w:rPr>
        <w:t>¶</w:t>
      </w:r>
      <w:r>
        <w:rPr>
          <w:rFonts w:ascii="Times New Roman" w:eastAsia="Times New Roman" w:hAnsi="Times New Roman" w:cs="Times New Roman"/>
          <w:color w:val="222222"/>
          <w:sz w:val="20"/>
          <w:szCs w:val="20"/>
          <w:shd w:val="clear" w:color="auto" w:fill="FFFFFF"/>
        </w:rPr>
        <w:t xml:space="preserve"> </w:t>
      </w:r>
      <w:r w:rsidRPr="009A59BA">
        <w:rPr>
          <w:rFonts w:ascii="Times New Roman" w:hAnsi="Times New Roman" w:cs="Times New Roman"/>
          <w:sz w:val="20"/>
          <w:szCs w:val="20"/>
        </w:rPr>
        <w:t>137.</w:t>
      </w:r>
      <w:r>
        <w:rPr>
          <w:rFonts w:ascii="Times New Roman" w:hAnsi="Times New Roman" w:cs="Times New Roman"/>
          <w:sz w:val="20"/>
          <w:szCs w:val="20"/>
        </w:rPr>
        <w:t xml:space="preserve"> The practical effect of this prohibition is very weak, since the CJI in </w:t>
      </w:r>
      <w:r w:rsidRPr="00F0762E">
        <w:rPr>
          <w:rFonts w:ascii="Times New Roman" w:hAnsi="Times New Roman" w:cs="Times New Roman"/>
          <w:sz w:val="20"/>
          <w:szCs w:val="20"/>
          <w:u w:val="single"/>
        </w:rPr>
        <w:t>Ashoka</w:t>
      </w:r>
      <w:r>
        <w:rPr>
          <w:rFonts w:ascii="Times New Roman" w:hAnsi="Times New Roman" w:cs="Times New Roman"/>
          <w:sz w:val="20"/>
          <w:szCs w:val="20"/>
        </w:rPr>
        <w:t xml:space="preserve"> seems very willing to allow caste-based classifications as long as the class is defined broadly enough to ensure that caste alone does not determine the class. “</w:t>
      </w:r>
      <w:r w:rsidRPr="00176C39">
        <w:rPr>
          <w:rFonts w:ascii="Times New Roman" w:hAnsi="Times New Roman" w:cs="Times New Roman"/>
          <w:sz w:val="20"/>
          <w:szCs w:val="20"/>
        </w:rPr>
        <w:t>It is clear that</w:t>
      </w:r>
      <w:r>
        <w:rPr>
          <w:rFonts w:ascii="Times New Roman" w:hAnsi="Times New Roman" w:cs="Times New Roman"/>
          <w:sz w:val="20"/>
          <w:szCs w:val="20"/>
        </w:rPr>
        <w:t xml:space="preserve"> </w:t>
      </w:r>
      <w:r w:rsidRPr="00176C39">
        <w:rPr>
          <w:rFonts w:ascii="Times New Roman" w:hAnsi="Times New Roman" w:cs="Times New Roman"/>
          <w:sz w:val="20"/>
          <w:szCs w:val="20"/>
        </w:rPr>
        <w:t>the lists of socially and educationally backward classes of citizens</w:t>
      </w:r>
      <w:r>
        <w:rPr>
          <w:rFonts w:ascii="Times New Roman" w:hAnsi="Times New Roman" w:cs="Times New Roman"/>
          <w:sz w:val="20"/>
          <w:szCs w:val="20"/>
        </w:rPr>
        <w:t xml:space="preserve"> </w:t>
      </w:r>
      <w:r w:rsidRPr="00176C39">
        <w:rPr>
          <w:rFonts w:ascii="Times New Roman" w:hAnsi="Times New Roman" w:cs="Times New Roman"/>
          <w:sz w:val="20"/>
          <w:szCs w:val="20"/>
        </w:rPr>
        <w:t>are being prepared not solely on the basis of the caste and if caste</w:t>
      </w:r>
      <w:r>
        <w:rPr>
          <w:rFonts w:ascii="Times New Roman" w:hAnsi="Times New Roman" w:cs="Times New Roman"/>
          <w:sz w:val="20"/>
          <w:szCs w:val="20"/>
        </w:rPr>
        <w:t xml:space="preserve"> </w:t>
      </w:r>
      <w:r w:rsidRPr="00176C39">
        <w:rPr>
          <w:rFonts w:ascii="Times New Roman" w:hAnsi="Times New Roman" w:cs="Times New Roman"/>
          <w:sz w:val="20"/>
          <w:szCs w:val="20"/>
        </w:rPr>
        <w:t>and other considerations are taken into account for determining</w:t>
      </w:r>
      <w:r>
        <w:rPr>
          <w:rFonts w:ascii="Times New Roman" w:hAnsi="Times New Roman" w:cs="Times New Roman"/>
          <w:sz w:val="20"/>
          <w:szCs w:val="20"/>
        </w:rPr>
        <w:t xml:space="preserve"> </w:t>
      </w:r>
      <w:r w:rsidRPr="00176C39">
        <w:rPr>
          <w:rFonts w:ascii="Times New Roman" w:hAnsi="Times New Roman" w:cs="Times New Roman"/>
          <w:sz w:val="20"/>
          <w:szCs w:val="20"/>
        </w:rPr>
        <w:t>backwardness, it cannot be said that it would be violative of Article</w:t>
      </w:r>
      <w:r>
        <w:rPr>
          <w:rFonts w:ascii="Times New Roman" w:hAnsi="Times New Roman" w:cs="Times New Roman"/>
          <w:sz w:val="20"/>
          <w:szCs w:val="20"/>
        </w:rPr>
        <w:t xml:space="preserve"> 15(1) of the Constitution.” </w:t>
      </w:r>
      <w:r w:rsidRPr="00F0762E">
        <w:rPr>
          <w:rFonts w:ascii="Times New Roman" w:hAnsi="Times New Roman" w:cs="Times New Roman"/>
          <w:sz w:val="20"/>
          <w:szCs w:val="20"/>
          <w:u w:val="single"/>
        </w:rPr>
        <w:t>Ashoka</w:t>
      </w:r>
      <w:r>
        <w:rPr>
          <w:rFonts w:ascii="Times New Roman" w:hAnsi="Times New Roman" w:cs="Times New Roman"/>
          <w:sz w:val="20"/>
          <w:szCs w:val="20"/>
        </w:rPr>
        <w:t xml:space="preserve"> at </w:t>
      </w:r>
      <w:r w:rsidRPr="00597BC1">
        <w:rPr>
          <w:rFonts w:ascii="Times New Roman" w:eastAsia="Times New Roman" w:hAnsi="Times New Roman" w:cs="Times New Roman"/>
          <w:color w:val="222222"/>
          <w:sz w:val="20"/>
          <w:szCs w:val="20"/>
          <w:shd w:val="clear" w:color="auto" w:fill="FFFFFF"/>
        </w:rPr>
        <w:t>¶</w:t>
      </w:r>
      <w:r>
        <w:rPr>
          <w:rFonts w:ascii="Times New Roman" w:eastAsia="Times New Roman" w:hAnsi="Times New Roman" w:cs="Times New Roman"/>
          <w:color w:val="222222"/>
          <w:sz w:val="20"/>
          <w:szCs w:val="20"/>
          <w:shd w:val="clear" w:color="auto" w:fill="FFFFFF"/>
        </w:rPr>
        <w:t xml:space="preserve"> 141.  </w:t>
      </w:r>
    </w:p>
  </w:footnote>
  <w:footnote w:id="46">
    <w:p w14:paraId="3950EBAB" w14:textId="43C9AAD4" w:rsidR="00D4791C" w:rsidRDefault="00D4791C" w:rsidP="00542935">
      <w:pPr>
        <w:pStyle w:val="FootnoteText"/>
        <w:jc w:val="both"/>
      </w:pPr>
      <w:r w:rsidRPr="009A59BA">
        <w:rPr>
          <w:rStyle w:val="FootnoteReference"/>
          <w:rFonts w:ascii="Times New Roman" w:hAnsi="Times New Roman" w:cs="Times New Roman"/>
          <w:sz w:val="20"/>
          <w:szCs w:val="20"/>
        </w:rPr>
        <w:footnoteRef/>
      </w:r>
      <w:r w:rsidRPr="009A59BA">
        <w:rPr>
          <w:rFonts w:ascii="Times New Roman" w:hAnsi="Times New Roman" w:cs="Times New Roman"/>
          <w:sz w:val="20"/>
          <w:szCs w:val="20"/>
        </w:rPr>
        <w:t xml:space="preserve"> </w:t>
      </w:r>
      <w:r w:rsidRPr="00597BC1">
        <w:rPr>
          <w:rFonts w:ascii="Times New Roman" w:hAnsi="Times New Roman" w:cs="Times New Roman"/>
          <w:sz w:val="20"/>
          <w:szCs w:val="20"/>
          <w:u w:val="single"/>
        </w:rPr>
        <w:t>Ashoka</w:t>
      </w:r>
      <w:r w:rsidRPr="004B6FF2">
        <w:rPr>
          <w:rFonts w:ascii="Times New Roman" w:hAnsi="Times New Roman" w:cs="Times New Roman"/>
          <w:sz w:val="20"/>
          <w:szCs w:val="20"/>
        </w:rPr>
        <w:t xml:space="preserve"> </w:t>
      </w:r>
      <w:r w:rsidRPr="00597BC1">
        <w:rPr>
          <w:rFonts w:ascii="Times New Roman" w:hAnsi="Times New Roman" w:cs="Times New Roman"/>
          <w:sz w:val="20"/>
          <w:szCs w:val="20"/>
        </w:rPr>
        <w:t>at</w:t>
      </w:r>
      <w:r>
        <w:rPr>
          <w:rFonts w:ascii="Times New Roman" w:hAnsi="Times New Roman" w:cs="Times New Roman"/>
          <w:sz w:val="20"/>
          <w:szCs w:val="20"/>
        </w:rPr>
        <w:t xml:space="preserve"> </w:t>
      </w:r>
      <w:r w:rsidRPr="00597BC1">
        <w:rPr>
          <w:rFonts w:ascii="Times New Roman" w:eastAsia="Times New Roman" w:hAnsi="Times New Roman" w:cs="Times New Roman"/>
          <w:color w:val="222222"/>
          <w:sz w:val="20"/>
          <w:szCs w:val="20"/>
          <w:shd w:val="clear" w:color="auto" w:fill="FFFFFF"/>
        </w:rPr>
        <w:t>¶</w:t>
      </w:r>
      <w:r>
        <w:rPr>
          <w:rFonts w:ascii="Times New Roman" w:eastAsia="Times New Roman" w:hAnsi="Times New Roman" w:cs="Times New Roman"/>
          <w:color w:val="222222"/>
          <w:sz w:val="20"/>
          <w:szCs w:val="20"/>
          <w:shd w:val="clear" w:color="auto" w:fill="FFFFFF"/>
        </w:rPr>
        <w:t xml:space="preserve"> </w:t>
      </w:r>
      <w:r w:rsidRPr="009A59BA">
        <w:rPr>
          <w:rFonts w:ascii="Times New Roman" w:hAnsi="Times New Roman" w:cs="Times New Roman"/>
          <w:sz w:val="20"/>
          <w:szCs w:val="20"/>
        </w:rPr>
        <w:t>184.</w:t>
      </w:r>
      <w:r>
        <w:t xml:space="preserve"> </w:t>
      </w:r>
    </w:p>
  </w:footnote>
  <w:footnote w:id="47">
    <w:p w14:paraId="3B8D722F" w14:textId="009B59FA" w:rsidR="00D4791C" w:rsidRPr="00511690" w:rsidRDefault="00D4791C" w:rsidP="00511690">
      <w:pPr>
        <w:widowControl w:val="0"/>
        <w:autoSpaceDE w:val="0"/>
        <w:autoSpaceDN w:val="0"/>
        <w:adjustRightInd w:val="0"/>
        <w:jc w:val="both"/>
        <w:rPr>
          <w:rFonts w:ascii="Times New Roman" w:hAnsi="Times New Roman" w:cs="Times New Roman"/>
          <w:sz w:val="20"/>
          <w:szCs w:val="20"/>
        </w:rPr>
      </w:pPr>
      <w:r w:rsidRPr="00462325">
        <w:rPr>
          <w:rStyle w:val="FootnoteReference"/>
          <w:rFonts w:ascii="Times New Roman" w:hAnsi="Times New Roman" w:cs="Times New Roman"/>
          <w:sz w:val="20"/>
          <w:szCs w:val="20"/>
        </w:rPr>
        <w:footnoteRef/>
      </w:r>
      <w:r w:rsidRPr="00462325">
        <w:rPr>
          <w:rFonts w:ascii="Times New Roman" w:hAnsi="Times New Roman" w:cs="Times New Roman"/>
          <w:sz w:val="20"/>
          <w:szCs w:val="20"/>
        </w:rPr>
        <w:t xml:space="preserve">  Political economy is “the dominant view in each country about the proper extent of the role of government in assuring general welfare and the way the dominant view is institutionalized in the country's economic and political structures.” John C. Reitz, </w:t>
      </w:r>
      <w:r>
        <w:rPr>
          <w:rFonts w:ascii="Times New Roman" w:hAnsi="Times New Roman" w:cs="Times New Roman"/>
          <w:sz w:val="20"/>
          <w:szCs w:val="20"/>
        </w:rPr>
        <w:t>“</w:t>
      </w:r>
      <w:r w:rsidRPr="00462325">
        <w:rPr>
          <w:rFonts w:ascii="Times New Roman" w:hAnsi="Times New Roman" w:cs="Times New Roman"/>
          <w:sz w:val="20"/>
          <w:szCs w:val="20"/>
        </w:rPr>
        <w:t>Doubts About Convergence: Political Economy as an Impediment to Globalization,</w:t>
      </w:r>
      <w:r>
        <w:rPr>
          <w:rFonts w:ascii="Times New Roman" w:hAnsi="Times New Roman" w:cs="Times New Roman"/>
          <w:sz w:val="20"/>
          <w:szCs w:val="20"/>
        </w:rPr>
        <w:t>”</w:t>
      </w:r>
      <w:r w:rsidRPr="00462325">
        <w:rPr>
          <w:rFonts w:ascii="Times New Roman" w:hAnsi="Times New Roman" w:cs="Times New Roman"/>
          <w:sz w:val="20"/>
          <w:szCs w:val="20"/>
        </w:rPr>
        <w:t xml:space="preserve"> 12 </w:t>
      </w:r>
      <w:proofErr w:type="spellStart"/>
      <w:r w:rsidRPr="00511690">
        <w:rPr>
          <w:rFonts w:ascii="Times New Roman" w:hAnsi="Times New Roman" w:cs="Times New Roman"/>
          <w:sz w:val="20"/>
          <w:szCs w:val="20"/>
        </w:rPr>
        <w:t>Transnat'l</w:t>
      </w:r>
      <w:proofErr w:type="spellEnd"/>
      <w:r w:rsidRPr="00511690">
        <w:rPr>
          <w:rFonts w:ascii="Times New Roman" w:hAnsi="Times New Roman" w:cs="Times New Roman"/>
          <w:sz w:val="20"/>
          <w:szCs w:val="20"/>
        </w:rPr>
        <w:t xml:space="preserve"> L. &amp; Contemp. Probs. 139, 140 (2002).</w:t>
      </w:r>
    </w:p>
  </w:footnote>
  <w:footnote w:id="48">
    <w:p w14:paraId="15BE076B" w14:textId="35882564" w:rsidR="00D4791C" w:rsidRDefault="00D4791C" w:rsidP="00511690">
      <w:pPr>
        <w:pStyle w:val="FootnoteText"/>
        <w:jc w:val="both"/>
      </w:pPr>
      <w:r w:rsidRPr="00511690">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The political economy thesis asserts that differences </w:t>
      </w:r>
      <w:r w:rsidRPr="00511690">
        <w:rPr>
          <w:rFonts w:ascii="Times New Roman" w:hAnsi="Times New Roman" w:cs="Times New Roman"/>
          <w:sz w:val="20"/>
          <w:szCs w:val="20"/>
        </w:rPr>
        <w:t>in pol</w:t>
      </w:r>
      <w:r>
        <w:rPr>
          <w:rFonts w:ascii="Times New Roman" w:hAnsi="Times New Roman" w:cs="Times New Roman"/>
          <w:sz w:val="20"/>
          <w:szCs w:val="20"/>
        </w:rPr>
        <w:t>i</w:t>
      </w:r>
      <w:r w:rsidRPr="00511690">
        <w:rPr>
          <w:rFonts w:ascii="Times New Roman" w:hAnsi="Times New Roman" w:cs="Times New Roman"/>
          <w:sz w:val="20"/>
          <w:szCs w:val="20"/>
        </w:rPr>
        <w:t xml:space="preserve">tical economy are reflected “in the chief differences among [] legal systems.” John C. Reitz, </w:t>
      </w:r>
      <w:r>
        <w:rPr>
          <w:rFonts w:ascii="Times New Roman" w:hAnsi="Times New Roman" w:cs="Times New Roman"/>
          <w:sz w:val="20"/>
          <w:szCs w:val="20"/>
        </w:rPr>
        <w:t>“</w:t>
      </w:r>
      <w:r w:rsidRPr="00511690">
        <w:rPr>
          <w:rFonts w:ascii="Times New Roman" w:hAnsi="Times New Roman" w:cs="Times New Roman"/>
          <w:sz w:val="20"/>
          <w:szCs w:val="20"/>
        </w:rPr>
        <w:t>Legal Origins, Comparative Law, and Political Ec</w:t>
      </w:r>
      <w:r>
        <w:rPr>
          <w:rFonts w:ascii="Times New Roman" w:hAnsi="Times New Roman" w:cs="Times New Roman"/>
          <w:sz w:val="20"/>
          <w:szCs w:val="20"/>
        </w:rPr>
        <w:t>o</w:t>
      </w:r>
      <w:r w:rsidRPr="00511690">
        <w:rPr>
          <w:rFonts w:ascii="Times New Roman" w:hAnsi="Times New Roman" w:cs="Times New Roman"/>
          <w:sz w:val="20"/>
          <w:szCs w:val="20"/>
        </w:rPr>
        <w:t>nomy,</w:t>
      </w:r>
      <w:r>
        <w:rPr>
          <w:rFonts w:ascii="Times New Roman" w:hAnsi="Times New Roman" w:cs="Times New Roman"/>
          <w:sz w:val="20"/>
          <w:szCs w:val="20"/>
        </w:rPr>
        <w:t>”</w:t>
      </w:r>
      <w:r w:rsidRPr="00511690">
        <w:rPr>
          <w:rFonts w:ascii="Times New Roman" w:hAnsi="Times New Roman" w:cs="Times New Roman"/>
          <w:sz w:val="20"/>
          <w:szCs w:val="20"/>
        </w:rPr>
        <w:t xml:space="preserve"> University of Iowa Legal Studies Research Paper, Number 09-40 (</w:t>
      </w:r>
      <w:proofErr w:type="gramStart"/>
      <w:r w:rsidRPr="00511690">
        <w:rPr>
          <w:rFonts w:ascii="Times New Roman" w:hAnsi="Times New Roman" w:cs="Times New Roman"/>
          <w:sz w:val="20"/>
          <w:szCs w:val="20"/>
        </w:rPr>
        <w:t>September,</w:t>
      </w:r>
      <w:proofErr w:type="gramEnd"/>
      <w:r w:rsidRPr="00511690">
        <w:rPr>
          <w:rFonts w:ascii="Times New Roman" w:hAnsi="Times New Roman" w:cs="Times New Roman"/>
          <w:sz w:val="20"/>
          <w:szCs w:val="20"/>
        </w:rPr>
        <w:t xml:space="preserve"> 2009), p.   8.</w:t>
      </w:r>
    </w:p>
  </w:footnote>
  <w:footnote w:id="49">
    <w:p w14:paraId="6096BCFB" w14:textId="77777777" w:rsidR="00D4791C" w:rsidRDefault="00D4791C" w:rsidP="00667A14">
      <w:pPr>
        <w:pStyle w:val="FootnoteText"/>
        <w:jc w:val="both"/>
      </w:pPr>
      <w:r w:rsidRPr="00B31C76">
        <w:rPr>
          <w:rStyle w:val="FootnoteReference"/>
          <w:rFonts w:ascii="Times New Roman" w:hAnsi="Times New Roman" w:cs="Times New Roman"/>
          <w:sz w:val="20"/>
          <w:szCs w:val="20"/>
        </w:rPr>
        <w:footnoteRef/>
      </w:r>
      <w:r w:rsidRPr="00B31C76">
        <w:rPr>
          <w:rFonts w:ascii="Times New Roman" w:hAnsi="Times New Roman" w:cs="Times New Roman"/>
          <w:sz w:val="20"/>
          <w:szCs w:val="20"/>
        </w:rPr>
        <w:t xml:space="preserve"> “Doubts about Convergence” at 141.</w:t>
      </w:r>
      <w:r>
        <w:t xml:space="preserve"> </w:t>
      </w:r>
    </w:p>
  </w:footnote>
  <w:footnote w:id="50">
    <w:p w14:paraId="11DCC43A" w14:textId="77777777" w:rsidR="00D4791C" w:rsidRPr="00F370A9" w:rsidRDefault="00D4791C" w:rsidP="00667A14">
      <w:pPr>
        <w:jc w:val="both"/>
        <w:rPr>
          <w:rFonts w:ascii="Times New Roman" w:eastAsia="Times New Roman" w:hAnsi="Times New Roman" w:cs="Times New Roman"/>
          <w:sz w:val="20"/>
          <w:szCs w:val="20"/>
        </w:rPr>
      </w:pPr>
      <w:r>
        <w:rPr>
          <w:rStyle w:val="FootnoteReference"/>
        </w:rPr>
        <w:footnoteRef/>
      </w:r>
      <w:r>
        <w:t xml:space="preserve"> “</w:t>
      </w:r>
      <w:r>
        <w:rPr>
          <w:rFonts w:ascii="Times" w:eastAsia="Times New Roman" w:hAnsi="Times" w:cs="Times New Roman"/>
          <w:sz w:val="20"/>
          <w:szCs w:val="20"/>
        </w:rPr>
        <w:t>[India]</w:t>
      </w:r>
      <w:r w:rsidRPr="003408A8">
        <w:rPr>
          <w:rFonts w:ascii="Times" w:eastAsia="Times New Roman" w:hAnsi="Times" w:cs="Times New Roman"/>
          <w:sz w:val="20"/>
          <w:szCs w:val="20"/>
        </w:rPr>
        <w:t xml:space="preserve"> feared foreign domination and considered development as synonymous with </w:t>
      </w:r>
      <w:proofErr w:type="spellStart"/>
      <w:r w:rsidRPr="003408A8">
        <w:rPr>
          <w:rFonts w:ascii="Times" w:eastAsia="Times New Roman" w:hAnsi="Times" w:cs="Times New Roman"/>
          <w:sz w:val="20"/>
          <w:szCs w:val="20"/>
        </w:rPr>
        <w:t>industrialisation</w:t>
      </w:r>
      <w:proofErr w:type="spellEnd"/>
      <w:r w:rsidRPr="003408A8">
        <w:rPr>
          <w:rFonts w:ascii="Times" w:eastAsia="Times New Roman" w:hAnsi="Times" w:cs="Times New Roman"/>
          <w:sz w:val="20"/>
          <w:szCs w:val="20"/>
        </w:rPr>
        <w:t xml:space="preserve">. </w:t>
      </w:r>
      <w:r>
        <w:rPr>
          <w:rFonts w:ascii="Times" w:eastAsia="Times New Roman" w:hAnsi="Times" w:cs="Times New Roman"/>
          <w:sz w:val="20"/>
          <w:szCs w:val="20"/>
        </w:rPr>
        <w:t xml:space="preserve">[It] </w:t>
      </w:r>
      <w:r w:rsidRPr="003408A8">
        <w:rPr>
          <w:rFonts w:ascii="Times" w:eastAsia="Times New Roman" w:hAnsi="Times" w:cs="Times New Roman"/>
          <w:sz w:val="20"/>
          <w:szCs w:val="20"/>
        </w:rPr>
        <w:t xml:space="preserve">considered the State as the engine and the driver of growth and suspected the private sector’s initiatives. The ideology forged during the long march to independence – </w:t>
      </w:r>
      <w:r>
        <w:rPr>
          <w:rFonts w:ascii="Times" w:eastAsia="Times New Roman" w:hAnsi="Times" w:cs="Times New Roman"/>
          <w:sz w:val="20"/>
          <w:szCs w:val="20"/>
        </w:rPr>
        <w:t>[]</w:t>
      </w:r>
      <w:r w:rsidRPr="003408A8">
        <w:rPr>
          <w:rFonts w:ascii="Times" w:eastAsia="Times New Roman" w:hAnsi="Times" w:cs="Times New Roman"/>
          <w:sz w:val="20"/>
          <w:szCs w:val="20"/>
        </w:rPr>
        <w:t xml:space="preserve"> Gandhism, plus an amalgam of Social and liberal </w:t>
      </w:r>
      <w:r w:rsidRPr="00F370A9">
        <w:rPr>
          <w:rFonts w:ascii="Times New Roman" w:eastAsia="Times New Roman" w:hAnsi="Times New Roman" w:cs="Times New Roman"/>
          <w:sz w:val="20"/>
          <w:szCs w:val="20"/>
        </w:rPr>
        <w:t xml:space="preserve">Democracy in India shaped the response more than economic realities warranted.” Meghnad Desai, “India and China: An Essay in Comparative Political Economy,” Paper for IMF Conference on India/China, Delhi, November 2003, p. 8. Available at: &lt;https://www.imf.org/external/np/apd/seminars/2003/newdelhi/desai.pdf&gt;.   </w:t>
      </w:r>
    </w:p>
  </w:footnote>
  <w:footnote w:id="51">
    <w:p w14:paraId="3504AFC5" w14:textId="77777777" w:rsidR="00D4791C" w:rsidRPr="008916DB" w:rsidRDefault="00D4791C" w:rsidP="00CC5A2A">
      <w:pPr>
        <w:pStyle w:val="NoSpacing"/>
        <w:jc w:val="both"/>
        <w:rPr>
          <w:rFonts w:ascii="Times New Roman" w:hAnsi="Times New Roman" w:cs="Times New Roman"/>
          <w:sz w:val="20"/>
          <w:szCs w:val="20"/>
        </w:rPr>
      </w:pPr>
      <w:r w:rsidRPr="008916DB">
        <w:rPr>
          <w:rStyle w:val="FootnoteReference"/>
          <w:rFonts w:ascii="Times New Roman" w:hAnsi="Times New Roman" w:cs="Times New Roman"/>
          <w:sz w:val="20"/>
          <w:szCs w:val="20"/>
        </w:rPr>
        <w:footnoteRef/>
      </w:r>
      <w:r w:rsidRPr="008916DB">
        <w:rPr>
          <w:rFonts w:ascii="Times New Roman" w:hAnsi="Times New Roman" w:cs="Times New Roman"/>
          <w:sz w:val="20"/>
          <w:szCs w:val="20"/>
        </w:rPr>
        <w:t xml:space="preserve"> </w:t>
      </w:r>
      <w:proofErr w:type="spellStart"/>
      <w:r w:rsidRPr="008916DB">
        <w:rPr>
          <w:rFonts w:ascii="Times New Roman" w:hAnsi="Times New Roman" w:cs="Times New Roman"/>
          <w:sz w:val="20"/>
          <w:szCs w:val="20"/>
        </w:rPr>
        <w:t>Wenar</w:t>
      </w:r>
      <w:proofErr w:type="spellEnd"/>
      <w:r w:rsidRPr="008916DB">
        <w:rPr>
          <w:rFonts w:ascii="Times New Roman" w:hAnsi="Times New Roman" w:cs="Times New Roman"/>
          <w:sz w:val="20"/>
          <w:szCs w:val="20"/>
        </w:rPr>
        <w:t xml:space="preserve">, Leif, “Rights,” The Stanford Encyclopedia of Philosophy (Fall 2015 Edition), Edward N. Zalta (ed.), URL=&lt;http://plato.stanford.edu/archives/fall2015/entries/rights/&gt;. </w:t>
      </w:r>
    </w:p>
  </w:footnote>
  <w:footnote w:id="52">
    <w:p w14:paraId="112AE04A" w14:textId="7396570B" w:rsidR="00D4791C" w:rsidRDefault="00D4791C">
      <w:pPr>
        <w:pStyle w:val="FootnoteText"/>
      </w:pPr>
      <w:r>
        <w:rPr>
          <w:rStyle w:val="FootnoteReference"/>
        </w:rPr>
        <w:footnoteRef/>
      </w:r>
      <w:r>
        <w:t xml:space="preserve"> </w:t>
      </w:r>
      <w:r>
        <w:rPr>
          <w:rFonts w:ascii="Times New Roman" w:hAnsi="Times New Roman" w:cs="Times New Roman"/>
          <w:sz w:val="20"/>
          <w:szCs w:val="20"/>
        </w:rPr>
        <w:t>Ann Piccard, “</w:t>
      </w:r>
      <w:r w:rsidRPr="00830AEE">
        <w:rPr>
          <w:rFonts w:ascii="Times New Roman" w:hAnsi="Times New Roman" w:cs="Times New Roman"/>
          <w:sz w:val="20"/>
          <w:szCs w:val="20"/>
        </w:rPr>
        <w:t xml:space="preserve">The United States’ Failure to Ratify the International Covenant on Economic, Social and Cultural Rights: Must the Poor Be </w:t>
      </w:r>
      <w:proofErr w:type="spellStart"/>
      <w:r w:rsidRPr="00830AEE">
        <w:rPr>
          <w:rFonts w:ascii="Times New Roman" w:hAnsi="Times New Roman" w:cs="Times New Roman"/>
          <w:sz w:val="20"/>
          <w:szCs w:val="20"/>
        </w:rPr>
        <w:t>Alwaays</w:t>
      </w:r>
      <w:proofErr w:type="spellEnd"/>
      <w:r w:rsidRPr="00830AEE">
        <w:rPr>
          <w:rFonts w:ascii="Times New Roman" w:hAnsi="Times New Roman" w:cs="Times New Roman"/>
          <w:sz w:val="20"/>
          <w:szCs w:val="20"/>
        </w:rPr>
        <w:t xml:space="preserve"> with </w:t>
      </w:r>
      <w:proofErr w:type="gramStart"/>
      <w:r w:rsidRPr="00830AEE">
        <w:rPr>
          <w:rFonts w:ascii="Times New Roman" w:hAnsi="Times New Roman" w:cs="Times New Roman"/>
          <w:sz w:val="20"/>
          <w:szCs w:val="20"/>
        </w:rPr>
        <w:t>Us?</w:t>
      </w:r>
      <w:r>
        <w:rPr>
          <w:rFonts w:ascii="Times New Roman" w:hAnsi="Times New Roman" w:cs="Times New Roman"/>
          <w:sz w:val="20"/>
          <w:szCs w:val="20"/>
        </w:rPr>
        <w:t>,</w:t>
      </w:r>
      <w:proofErr w:type="gramEnd"/>
      <w:r>
        <w:rPr>
          <w:rFonts w:ascii="Times New Roman" w:hAnsi="Times New Roman" w:cs="Times New Roman"/>
          <w:sz w:val="20"/>
          <w:szCs w:val="20"/>
        </w:rPr>
        <w:t>”</w:t>
      </w:r>
      <w:r w:rsidRPr="00830AEE">
        <w:rPr>
          <w:rFonts w:ascii="Times New Roman" w:hAnsi="Times New Roman" w:cs="Times New Roman"/>
          <w:sz w:val="20"/>
          <w:szCs w:val="20"/>
        </w:rPr>
        <w:t xml:space="preserve"> </w:t>
      </w:r>
      <w:r w:rsidRPr="008F7A17">
        <w:rPr>
          <w:rFonts w:ascii="Times New Roman" w:hAnsi="Times New Roman" w:cs="Times New Roman"/>
          <w:iCs/>
          <w:sz w:val="20"/>
          <w:szCs w:val="20"/>
        </w:rPr>
        <w:t>The Scholar: St. Mary’s Law Review on Minority Issues</w:t>
      </w:r>
      <w:r w:rsidRPr="00830AEE">
        <w:rPr>
          <w:rFonts w:ascii="Times New Roman" w:hAnsi="Times New Roman" w:cs="Times New Roman"/>
          <w:sz w:val="20"/>
          <w:szCs w:val="20"/>
        </w:rPr>
        <w:t>, vol. 1</w:t>
      </w:r>
      <w:r>
        <w:rPr>
          <w:rFonts w:ascii="Times New Roman" w:hAnsi="Times New Roman" w:cs="Times New Roman"/>
          <w:sz w:val="20"/>
          <w:szCs w:val="20"/>
        </w:rPr>
        <w:t xml:space="preserve">3, no. 2 (Winter 2010), </w:t>
      </w:r>
      <w:r w:rsidRPr="008916DB">
        <w:rPr>
          <w:rFonts w:ascii="Times New Roman" w:hAnsi="Times New Roman" w:cs="Times New Roman"/>
          <w:sz w:val="20"/>
          <w:szCs w:val="20"/>
        </w:rPr>
        <w:t>p. 239.</w:t>
      </w:r>
    </w:p>
  </w:footnote>
  <w:footnote w:id="53">
    <w:p w14:paraId="13768DF9" w14:textId="430F3C9B" w:rsidR="00D4791C" w:rsidRPr="008916DB" w:rsidRDefault="00D4791C" w:rsidP="00DC0483">
      <w:pPr>
        <w:pStyle w:val="FootnoteText"/>
        <w:jc w:val="both"/>
        <w:rPr>
          <w:rFonts w:ascii="Times New Roman" w:hAnsi="Times New Roman" w:cs="Times New Roman"/>
          <w:sz w:val="20"/>
          <w:szCs w:val="20"/>
        </w:rPr>
      </w:pPr>
      <w:r w:rsidRPr="008916DB">
        <w:rPr>
          <w:rStyle w:val="FootnoteReference"/>
          <w:rFonts w:ascii="Times New Roman" w:hAnsi="Times New Roman" w:cs="Times New Roman"/>
          <w:sz w:val="20"/>
          <w:szCs w:val="20"/>
        </w:rPr>
        <w:footnoteRef/>
      </w:r>
      <w:r w:rsidRPr="008916DB">
        <w:rPr>
          <w:rFonts w:ascii="Times New Roman" w:hAnsi="Times New Roman" w:cs="Times New Roman"/>
          <w:sz w:val="20"/>
          <w:szCs w:val="20"/>
        </w:rPr>
        <w:t xml:space="preserve"> </w:t>
      </w:r>
      <w:r w:rsidRPr="00B04922">
        <w:rPr>
          <w:rFonts w:ascii="Times New Roman" w:hAnsi="Times New Roman" w:cs="Times New Roman"/>
          <w:sz w:val="20"/>
          <w:szCs w:val="20"/>
        </w:rPr>
        <w:t>Barbara Stark, “Economic Rights in the United States and International Human Rights Law: Toward an ‘Entirely New Strategy,’” 44 Hastings L.J. 79</w:t>
      </w:r>
      <w:r>
        <w:rPr>
          <w:rFonts w:ascii="Times New Roman" w:hAnsi="Times New Roman" w:cs="Times New Roman"/>
          <w:sz w:val="20"/>
          <w:szCs w:val="20"/>
        </w:rPr>
        <w:t xml:space="preserve">, 81 (1992). </w:t>
      </w:r>
      <w:r w:rsidRPr="00B04922">
        <w:rPr>
          <w:rFonts w:ascii="Times New Roman" w:hAnsi="Times New Roman" w:cs="Times New Roman"/>
          <w:sz w:val="20"/>
          <w:szCs w:val="20"/>
        </w:rPr>
        <w:t xml:space="preserve">Available at: </w:t>
      </w:r>
      <w:r>
        <w:rPr>
          <w:rFonts w:ascii="Times New Roman" w:hAnsi="Times New Roman" w:cs="Times New Roman"/>
          <w:sz w:val="20"/>
          <w:szCs w:val="20"/>
        </w:rPr>
        <w:t>&lt;</w:t>
      </w:r>
      <w:r w:rsidRPr="009C2CD3">
        <w:rPr>
          <w:rFonts w:ascii="Times New Roman" w:hAnsi="Times New Roman" w:cs="Times New Roman"/>
          <w:sz w:val="20"/>
          <w:szCs w:val="20"/>
        </w:rPr>
        <w:t>http://scholarlycommons.law.hofstra.edu/faculty_scholarship/377</w:t>
      </w:r>
      <w:r>
        <w:rPr>
          <w:rFonts w:ascii="Times New Roman" w:hAnsi="Times New Roman" w:cs="Times New Roman"/>
          <w:sz w:val="20"/>
          <w:szCs w:val="20"/>
        </w:rPr>
        <w:t>&gt;</w:t>
      </w:r>
      <w:r w:rsidRPr="00B04922">
        <w:rPr>
          <w:rFonts w:ascii="Times New Roman" w:hAnsi="Times New Roman" w:cs="Times New Roman"/>
          <w:sz w:val="20"/>
          <w:szCs w:val="20"/>
        </w:rPr>
        <w:t xml:space="preserve">. </w:t>
      </w:r>
    </w:p>
  </w:footnote>
  <w:footnote w:id="54">
    <w:p w14:paraId="0BE0E1B1" w14:textId="03B64638" w:rsidR="00D4791C" w:rsidRPr="008916DB" w:rsidRDefault="00D4791C" w:rsidP="00DC0483">
      <w:pPr>
        <w:widowControl w:val="0"/>
        <w:autoSpaceDE w:val="0"/>
        <w:autoSpaceDN w:val="0"/>
        <w:adjustRightInd w:val="0"/>
        <w:jc w:val="both"/>
        <w:rPr>
          <w:rFonts w:ascii="Times New Roman" w:hAnsi="Times New Roman" w:cs="Times New Roman"/>
          <w:sz w:val="20"/>
          <w:szCs w:val="20"/>
        </w:rPr>
      </w:pPr>
      <w:r w:rsidRPr="008916DB">
        <w:rPr>
          <w:rStyle w:val="FootnoteReference"/>
          <w:rFonts w:ascii="Times New Roman" w:hAnsi="Times New Roman" w:cs="Times New Roman"/>
          <w:sz w:val="20"/>
          <w:szCs w:val="20"/>
        </w:rPr>
        <w:footnoteRef/>
      </w:r>
      <w:r w:rsidRPr="008916DB">
        <w:rPr>
          <w:rFonts w:ascii="Times New Roman" w:hAnsi="Times New Roman" w:cs="Times New Roman"/>
          <w:sz w:val="20"/>
          <w:szCs w:val="20"/>
        </w:rPr>
        <w:t xml:space="preserve"> Eric A. Posner, </w:t>
      </w:r>
      <w:r w:rsidRPr="004B6FF2">
        <w:rPr>
          <w:rFonts w:ascii="Times New Roman" w:hAnsi="Times New Roman" w:cs="Times New Roman"/>
          <w:sz w:val="20"/>
          <w:szCs w:val="20"/>
          <w:u w:val="single"/>
        </w:rPr>
        <w:t>Human Welfare, Not Human Rights</w:t>
      </w:r>
      <w:r>
        <w:rPr>
          <w:rFonts w:ascii="Times New Roman" w:hAnsi="Times New Roman" w:cs="Times New Roman"/>
          <w:sz w:val="20"/>
          <w:szCs w:val="20"/>
        </w:rPr>
        <w:t>, 108 COLUM. L. REV</w:t>
      </w:r>
      <w:r w:rsidRPr="008916DB">
        <w:rPr>
          <w:rFonts w:ascii="Times New Roman" w:hAnsi="Times New Roman" w:cs="Times New Roman"/>
          <w:sz w:val="20"/>
          <w:szCs w:val="20"/>
        </w:rPr>
        <w:t>. 1758, 1766 (2008).</w:t>
      </w:r>
    </w:p>
  </w:footnote>
  <w:footnote w:id="55">
    <w:p w14:paraId="3D835C45" w14:textId="02F39B97" w:rsidR="00D4791C" w:rsidRPr="00551C6A" w:rsidRDefault="00D4791C" w:rsidP="003D03F8">
      <w:pPr>
        <w:jc w:val="both"/>
        <w:rPr>
          <w:rFonts w:ascii="Times New Roman" w:hAnsi="Times New Roman" w:cs="Times New Roman"/>
          <w:sz w:val="20"/>
          <w:szCs w:val="20"/>
        </w:rPr>
      </w:pPr>
      <w:r w:rsidRPr="008916DB">
        <w:rPr>
          <w:rStyle w:val="FootnoteReference"/>
          <w:rFonts w:ascii="Times New Roman" w:hAnsi="Times New Roman" w:cs="Times New Roman"/>
          <w:sz w:val="20"/>
          <w:szCs w:val="20"/>
        </w:rPr>
        <w:footnoteRef/>
      </w:r>
      <w:r w:rsidRPr="008916DB">
        <w:rPr>
          <w:rFonts w:ascii="Times New Roman" w:hAnsi="Times New Roman" w:cs="Times New Roman"/>
          <w:sz w:val="20"/>
          <w:szCs w:val="20"/>
        </w:rPr>
        <w:t xml:space="preserve"> </w:t>
      </w:r>
      <w:r w:rsidRPr="00551C6A">
        <w:rPr>
          <w:rFonts w:ascii="Times New Roman" w:hAnsi="Times New Roman" w:cs="Times New Roman"/>
          <w:sz w:val="20"/>
          <w:szCs w:val="20"/>
        </w:rPr>
        <w:t xml:space="preserve">Eibe Riedel,  “International Covenant on Economic, Social, and Cultural Rights (1966).” </w:t>
      </w:r>
      <w:r w:rsidRPr="00551C6A">
        <w:rPr>
          <w:rFonts w:ascii="Times New Roman" w:hAnsi="Times New Roman" w:cs="Times New Roman"/>
          <w:iCs/>
          <w:sz w:val="20"/>
          <w:szCs w:val="20"/>
        </w:rPr>
        <w:t>Max Planck Encyclopedia of Public International Law</w:t>
      </w:r>
      <w:r w:rsidRPr="00551C6A">
        <w:rPr>
          <w:rFonts w:ascii="Times New Roman" w:hAnsi="Times New Roman" w:cs="Times New Roman"/>
          <w:sz w:val="20"/>
          <w:szCs w:val="20"/>
        </w:rPr>
        <w:t xml:space="preserve">. </w:t>
      </w:r>
    </w:p>
  </w:footnote>
  <w:footnote w:id="56">
    <w:p w14:paraId="685E7D28" w14:textId="4CB4C0DC" w:rsidR="00D4791C" w:rsidRPr="008916DB" w:rsidRDefault="00D4791C" w:rsidP="003D03F8">
      <w:pPr>
        <w:widowControl w:val="0"/>
        <w:autoSpaceDE w:val="0"/>
        <w:autoSpaceDN w:val="0"/>
        <w:adjustRightInd w:val="0"/>
        <w:jc w:val="both"/>
        <w:rPr>
          <w:rFonts w:ascii="Times New Roman" w:hAnsi="Times New Roman" w:cs="Times New Roman"/>
          <w:sz w:val="20"/>
          <w:szCs w:val="20"/>
        </w:rPr>
      </w:pPr>
      <w:r w:rsidRPr="008916DB">
        <w:rPr>
          <w:rStyle w:val="FootnoteReference"/>
          <w:rFonts w:ascii="Times New Roman" w:hAnsi="Times New Roman" w:cs="Times New Roman"/>
          <w:sz w:val="20"/>
          <w:szCs w:val="20"/>
        </w:rPr>
        <w:footnoteRef/>
      </w:r>
      <w:r w:rsidRPr="008916DB">
        <w:rPr>
          <w:rFonts w:ascii="Times New Roman" w:hAnsi="Times New Roman" w:cs="Times New Roman"/>
          <w:sz w:val="20"/>
          <w:szCs w:val="20"/>
        </w:rPr>
        <w:t xml:space="preserve"> “</w:t>
      </w:r>
      <w:r w:rsidRPr="008916DB">
        <w:rPr>
          <w:rFonts w:ascii="Times New Roman" w:eastAsia="Times New Roman" w:hAnsi="Times New Roman" w:cs="Times New Roman"/>
          <w:color w:val="000000"/>
          <w:sz w:val="20"/>
          <w:szCs w:val="20"/>
          <w:shd w:val="clear" w:color="auto" w:fill="FFFFFF"/>
        </w:rPr>
        <w:t xml:space="preserve">States Parties shall, when the circumstances so warrant, take, in the social, economic, cultural and other fields, special and concrete measures to ensure the adequate development and protection of certain racial groups or individuals belonging to them, for the purpose of guaranteeing them the full and equal enjoyment of human rights and fundamental freedoms. These measures shall in no case en tail as a con sequence the maintenance of unequal or separate rights for different racial groups after the objectives for which they were taken have been achieved.” </w:t>
      </w:r>
      <w:r w:rsidRPr="00B330C7">
        <w:rPr>
          <w:rFonts w:ascii="Times New Roman" w:hAnsi="Times New Roman" w:cs="Times New Roman"/>
          <w:sz w:val="20"/>
          <w:szCs w:val="20"/>
          <w:u w:val="single"/>
        </w:rPr>
        <w:t>The International Convention on the Elimination of All Forms of Racial Discrimination</w:t>
      </w:r>
      <w:r w:rsidRPr="008916DB">
        <w:rPr>
          <w:rFonts w:ascii="Times New Roman" w:hAnsi="Times New Roman" w:cs="Times New Roman"/>
          <w:sz w:val="20"/>
          <w:szCs w:val="20"/>
        </w:rPr>
        <w:t>, Annex to G. A. Res. 2106, 20 U. N. GAOR, 20th Sess., Res. Supp. (No. 14), p. 47, U. N. Doc. A/6014, Art. 2(2) (1965).</w:t>
      </w:r>
    </w:p>
  </w:footnote>
  <w:footnote w:id="57">
    <w:p w14:paraId="0460373A" w14:textId="1E93D6BB" w:rsidR="00D4791C" w:rsidRPr="008916DB" w:rsidRDefault="00D4791C" w:rsidP="003D03F8">
      <w:pPr>
        <w:widowControl w:val="0"/>
        <w:autoSpaceDE w:val="0"/>
        <w:autoSpaceDN w:val="0"/>
        <w:adjustRightInd w:val="0"/>
        <w:jc w:val="both"/>
        <w:rPr>
          <w:rFonts w:ascii="Times New Roman" w:hAnsi="Times New Roman" w:cs="Times New Roman"/>
          <w:sz w:val="20"/>
          <w:szCs w:val="20"/>
        </w:rPr>
      </w:pPr>
      <w:r w:rsidRPr="008916DB">
        <w:rPr>
          <w:rStyle w:val="FootnoteReference"/>
          <w:rFonts w:ascii="Times New Roman" w:hAnsi="Times New Roman" w:cs="Times New Roman"/>
          <w:sz w:val="20"/>
          <w:szCs w:val="20"/>
        </w:rPr>
        <w:footnoteRef/>
      </w:r>
      <w:r w:rsidRPr="008916DB">
        <w:rPr>
          <w:rFonts w:ascii="Times New Roman" w:hAnsi="Times New Roman" w:cs="Times New Roman"/>
          <w:sz w:val="20"/>
          <w:szCs w:val="20"/>
        </w:rPr>
        <w:t xml:space="preserve"> “</w:t>
      </w:r>
      <w:r w:rsidRPr="008916DB">
        <w:rPr>
          <w:rFonts w:ascii="Times New Roman" w:eastAsia="Times New Roman" w:hAnsi="Times New Roman" w:cs="Times New Roman"/>
          <w:color w:val="000000"/>
          <w:sz w:val="20"/>
          <w:szCs w:val="20"/>
          <w:shd w:val="clear" w:color="auto" w:fill="FFFFFF"/>
        </w:rPr>
        <w:t xml:space="preserve">Adoption by States Parties of temporary special measures aimed at accelerating de facto equality between men and women shall not be considered discrimination as defined in the present Convention, but shall in no way entail as a consequence the maintenance of unequal or separate standards; these measures shall be discontinued when the objectives of equality of opportunity and treatment have been achieved.” </w:t>
      </w:r>
      <w:r w:rsidRPr="00B330C7">
        <w:rPr>
          <w:rFonts w:ascii="Times New Roman" w:hAnsi="Times New Roman" w:cs="Times New Roman"/>
          <w:sz w:val="20"/>
          <w:szCs w:val="20"/>
          <w:u w:val="single"/>
        </w:rPr>
        <w:t>Convention on the Elimination of All Forms of Discrimination against Women</w:t>
      </w:r>
      <w:r w:rsidRPr="008916DB">
        <w:rPr>
          <w:rFonts w:ascii="Times New Roman" w:hAnsi="Times New Roman" w:cs="Times New Roman"/>
          <w:sz w:val="20"/>
          <w:szCs w:val="20"/>
        </w:rPr>
        <w:t>, Annex to G. A. Res. 34/180, 34 U. N. GAOR, 34th Sess., Res. Supp. (No. 46), p. 194, U. N. Doc. A/34/46, Art. 4(1) (1979).</w:t>
      </w:r>
    </w:p>
  </w:footnote>
  <w:footnote w:id="58">
    <w:p w14:paraId="616F3C27" w14:textId="77777777" w:rsidR="00D4791C" w:rsidRDefault="00D4791C" w:rsidP="003D03F8">
      <w:pPr>
        <w:jc w:val="both"/>
        <w:rPr>
          <w:rFonts w:ascii="Times New Roman" w:hAnsi="Times New Roman" w:cs="Times New Roman"/>
          <w:sz w:val="20"/>
          <w:szCs w:val="20"/>
        </w:rPr>
      </w:pPr>
      <w:r w:rsidRPr="00B31C76">
        <w:rPr>
          <w:rStyle w:val="FootnoteReference"/>
          <w:rFonts w:ascii="Times New Roman" w:hAnsi="Times New Roman" w:cs="Times New Roman"/>
          <w:sz w:val="20"/>
          <w:szCs w:val="20"/>
        </w:rPr>
        <w:footnoteRef/>
      </w:r>
      <w:r w:rsidRPr="00B31C76">
        <w:rPr>
          <w:rFonts w:ascii="Times New Roman" w:hAnsi="Times New Roman" w:cs="Times New Roman"/>
          <w:sz w:val="20"/>
          <w:szCs w:val="20"/>
        </w:rPr>
        <w:t xml:space="preserve"> “The term ‘measures’ encompasses a wide variety of legislative, executive, administrative   other regulatory instruments, policies and practices, such as [] numerical goals connected with time frames; and quota systems.”</w:t>
      </w:r>
    </w:p>
    <w:p w14:paraId="3025478A" w14:textId="03638A13" w:rsidR="00D4791C" w:rsidRPr="00B31C76" w:rsidRDefault="00D4791C" w:rsidP="003D03F8">
      <w:pPr>
        <w:jc w:val="both"/>
        <w:rPr>
          <w:rFonts w:ascii="Times New Roman" w:eastAsia="Times New Roman" w:hAnsi="Times New Roman" w:cs="Times New Roman"/>
          <w:sz w:val="20"/>
          <w:szCs w:val="20"/>
        </w:rPr>
      </w:pPr>
      <w:r w:rsidRPr="00B31C76">
        <w:rPr>
          <w:rFonts w:ascii="Times New Roman" w:hAnsi="Times New Roman" w:cs="Times New Roman"/>
          <w:sz w:val="20"/>
          <w:szCs w:val="20"/>
        </w:rPr>
        <w:t xml:space="preserve"> </w:t>
      </w:r>
      <w:r w:rsidRPr="00B31C76">
        <w:rPr>
          <w:rFonts w:ascii="Times New Roman" w:eastAsia="Times New Roman" w:hAnsi="Times New Roman" w:cs="Times New Roman"/>
          <w:sz w:val="20"/>
          <w:szCs w:val="20"/>
          <w:u w:val="single"/>
        </w:rPr>
        <w:t>General recommendation No. 25, on article 4, paragraph 1, of the Convention on the Elimination of All Forms of Discrimination against Women, on temporary special measure</w:t>
      </w:r>
      <w:r w:rsidRPr="00B31C76">
        <w:rPr>
          <w:rFonts w:ascii="Times New Roman" w:eastAsia="Times New Roman" w:hAnsi="Times New Roman" w:cs="Times New Roman"/>
          <w:sz w:val="20"/>
          <w:szCs w:val="20"/>
        </w:rPr>
        <w:t>. Available at:</w:t>
      </w:r>
      <w:r w:rsidRPr="00B31C76">
        <w:rPr>
          <w:rFonts w:ascii="Times New Roman" w:hAnsi="Times New Roman" w:cs="Times New Roman"/>
          <w:sz w:val="20"/>
          <w:szCs w:val="20"/>
        </w:rPr>
        <w:t xml:space="preserve"> &lt;http://www.un.org/womenwatch/daw/cedaw/recommendations/General%20recommendation%2025%20(English).pdf&gt;. </w:t>
      </w:r>
    </w:p>
  </w:footnote>
  <w:footnote w:id="59">
    <w:p w14:paraId="45430483" w14:textId="53A6AB67" w:rsidR="00D4791C" w:rsidRPr="00B31C76" w:rsidRDefault="00D4791C" w:rsidP="00B31C76">
      <w:pPr>
        <w:pStyle w:val="FootnoteText"/>
        <w:jc w:val="both"/>
        <w:rPr>
          <w:rFonts w:ascii="Times New Roman" w:hAnsi="Times New Roman" w:cs="Times New Roman"/>
          <w:sz w:val="20"/>
          <w:szCs w:val="20"/>
        </w:rPr>
      </w:pPr>
      <w:r w:rsidRPr="00B31C76">
        <w:rPr>
          <w:rStyle w:val="FootnoteReference"/>
          <w:rFonts w:ascii="Times New Roman" w:hAnsi="Times New Roman" w:cs="Times New Roman"/>
          <w:sz w:val="20"/>
          <w:szCs w:val="20"/>
        </w:rPr>
        <w:footnoteRef/>
      </w:r>
      <w:r w:rsidRPr="00B31C76">
        <w:rPr>
          <w:rFonts w:ascii="Times New Roman" w:hAnsi="Times New Roman" w:cs="Times New Roman"/>
          <w:sz w:val="20"/>
          <w:szCs w:val="20"/>
        </w:rPr>
        <w:t xml:space="preserve"> </w:t>
      </w:r>
      <w:r w:rsidRPr="00B31C76">
        <w:rPr>
          <w:rFonts w:ascii="Times New Roman" w:hAnsi="Times New Roman" w:cs="Times New Roman"/>
          <w:sz w:val="20"/>
          <w:szCs w:val="20"/>
          <w:u w:val="single"/>
        </w:rPr>
        <w:t>Constitution of India</w:t>
      </w:r>
      <w:r w:rsidRPr="00B31C76">
        <w:rPr>
          <w:rFonts w:ascii="Times New Roman" w:hAnsi="Times New Roman" w:cs="Times New Roman"/>
          <w:sz w:val="20"/>
          <w:szCs w:val="20"/>
        </w:rPr>
        <w:t xml:space="preserve">, Article 41. </w:t>
      </w:r>
    </w:p>
  </w:footnote>
  <w:footnote w:id="60">
    <w:p w14:paraId="2D67F304" w14:textId="21A5450E" w:rsidR="00D4791C" w:rsidRPr="00B31C76" w:rsidRDefault="00D4791C" w:rsidP="00B31C76">
      <w:pPr>
        <w:pStyle w:val="FootnoteText"/>
        <w:jc w:val="both"/>
        <w:rPr>
          <w:rFonts w:ascii="Times New Roman" w:hAnsi="Times New Roman" w:cs="Times New Roman"/>
          <w:sz w:val="20"/>
          <w:szCs w:val="20"/>
        </w:rPr>
      </w:pPr>
      <w:r w:rsidRPr="00B31C76">
        <w:rPr>
          <w:rStyle w:val="FootnoteReference"/>
          <w:rFonts w:ascii="Times New Roman" w:hAnsi="Times New Roman" w:cs="Times New Roman"/>
          <w:sz w:val="20"/>
          <w:szCs w:val="20"/>
        </w:rPr>
        <w:footnoteRef/>
      </w:r>
      <w:r w:rsidRPr="00B31C76">
        <w:rPr>
          <w:rFonts w:ascii="Times New Roman" w:hAnsi="Times New Roman" w:cs="Times New Roman"/>
          <w:sz w:val="20"/>
          <w:szCs w:val="20"/>
        </w:rPr>
        <w:t xml:space="preserve"> </w:t>
      </w:r>
      <w:r w:rsidRPr="00B31C76">
        <w:rPr>
          <w:rFonts w:ascii="Times New Roman" w:hAnsi="Times New Roman" w:cs="Times New Roman"/>
          <w:sz w:val="20"/>
          <w:szCs w:val="20"/>
          <w:u w:val="single"/>
        </w:rPr>
        <w:t>Ashoka</w:t>
      </w:r>
      <w:r w:rsidRPr="00B31C76">
        <w:rPr>
          <w:rFonts w:ascii="Times New Roman" w:hAnsi="Times New Roman" w:cs="Times New Roman"/>
          <w:sz w:val="20"/>
          <w:szCs w:val="20"/>
        </w:rPr>
        <w:t xml:space="preserve"> at </w:t>
      </w:r>
      <w:r w:rsidRPr="00B31C76">
        <w:rPr>
          <w:rFonts w:ascii="Times New Roman" w:eastAsia="Times New Roman" w:hAnsi="Times New Roman" w:cs="Times New Roman"/>
          <w:color w:val="222222"/>
          <w:sz w:val="20"/>
          <w:szCs w:val="20"/>
          <w:shd w:val="clear" w:color="auto" w:fill="FFFFFF"/>
        </w:rPr>
        <w:t xml:space="preserve">¶ </w:t>
      </w:r>
      <w:r w:rsidRPr="00B31C76">
        <w:rPr>
          <w:rFonts w:ascii="Times New Roman" w:hAnsi="Times New Roman" w:cs="Times New Roman"/>
          <w:sz w:val="20"/>
          <w:szCs w:val="20"/>
        </w:rPr>
        <w:t xml:space="preserve">5. </w:t>
      </w:r>
    </w:p>
  </w:footnote>
  <w:footnote w:id="61">
    <w:p w14:paraId="1C68F9DD" w14:textId="3C261998" w:rsidR="00D4791C" w:rsidRPr="00B31C76" w:rsidRDefault="00D4791C" w:rsidP="00B31C76">
      <w:pPr>
        <w:jc w:val="both"/>
        <w:rPr>
          <w:rFonts w:ascii="Times New Roman" w:eastAsia="Times New Roman" w:hAnsi="Times New Roman" w:cs="Times New Roman"/>
          <w:sz w:val="20"/>
          <w:szCs w:val="20"/>
        </w:rPr>
      </w:pPr>
      <w:r w:rsidRPr="00B31C76">
        <w:rPr>
          <w:rStyle w:val="FootnoteReference"/>
          <w:rFonts w:ascii="Times New Roman" w:hAnsi="Times New Roman" w:cs="Times New Roman"/>
          <w:sz w:val="20"/>
          <w:szCs w:val="20"/>
        </w:rPr>
        <w:footnoteRef/>
      </w:r>
      <w:r w:rsidRPr="00B31C76">
        <w:rPr>
          <w:rFonts w:ascii="Times New Roman" w:hAnsi="Times New Roman" w:cs="Times New Roman"/>
          <w:sz w:val="20"/>
          <w:szCs w:val="20"/>
        </w:rPr>
        <w:t xml:space="preserve"> </w:t>
      </w:r>
      <w:r w:rsidRPr="00B31C76">
        <w:rPr>
          <w:rFonts w:ascii="Times New Roman" w:eastAsia="Times New Roman" w:hAnsi="Times New Roman" w:cs="Times New Roman"/>
          <w:sz w:val="20"/>
          <w:szCs w:val="20"/>
        </w:rPr>
        <w:t xml:space="preserve">The Fundamental Rights [Part III of the Constitution of India] represent the civil and political rights and the Directive Principles embody social and economic rights. Together they are intended to carry out the objectives set out in the Preamble of the Constitution. </w:t>
      </w:r>
      <w:proofErr w:type="gramStart"/>
      <w:r w:rsidRPr="00B31C76">
        <w:rPr>
          <w:rFonts w:ascii="Times New Roman" w:eastAsia="Times New Roman" w:hAnsi="Times New Roman" w:cs="Times New Roman"/>
          <w:sz w:val="20"/>
          <w:szCs w:val="20"/>
        </w:rPr>
        <w:t>[]From</w:t>
      </w:r>
      <w:proofErr w:type="gramEnd"/>
      <w:r w:rsidRPr="00B31C76">
        <w:rPr>
          <w:rFonts w:ascii="Times New Roman" w:eastAsia="Times New Roman" w:hAnsi="Times New Roman" w:cs="Times New Roman"/>
          <w:sz w:val="20"/>
          <w:szCs w:val="20"/>
        </w:rPr>
        <w:t xml:space="preserve"> the constitutional history of India, </w:t>
      </w:r>
      <w:proofErr w:type="gramStart"/>
      <w:r w:rsidRPr="00B31C76">
        <w:rPr>
          <w:rFonts w:ascii="Times New Roman" w:eastAsia="Times New Roman" w:hAnsi="Times New Roman" w:cs="Times New Roman"/>
          <w:sz w:val="20"/>
          <w:szCs w:val="20"/>
        </w:rPr>
        <w:t>it can be seen that from</w:t>
      </w:r>
      <w:proofErr w:type="gramEnd"/>
      <w:r w:rsidRPr="00B31C76">
        <w:rPr>
          <w:rFonts w:ascii="Times New Roman" w:eastAsia="Times New Roman" w:hAnsi="Times New Roman" w:cs="Times New Roman"/>
          <w:sz w:val="20"/>
          <w:szCs w:val="20"/>
        </w:rPr>
        <w:t xml:space="preserve"> the point of view of importance and significance, no distinction can be made between the two sets of rights.” </w:t>
      </w:r>
      <w:r w:rsidRPr="00B31C76">
        <w:rPr>
          <w:rFonts w:ascii="Times New Roman" w:eastAsia="Times New Roman" w:hAnsi="Times New Roman" w:cs="Times New Roman"/>
          <w:sz w:val="20"/>
          <w:szCs w:val="20"/>
          <w:u w:val="single"/>
        </w:rPr>
        <w:t>Ashoka</w:t>
      </w:r>
      <w:r w:rsidRPr="00B31C76">
        <w:rPr>
          <w:rFonts w:ascii="Times New Roman" w:eastAsia="Times New Roman" w:hAnsi="Times New Roman" w:cs="Times New Roman"/>
          <w:sz w:val="20"/>
          <w:szCs w:val="20"/>
        </w:rPr>
        <w:t xml:space="preserve"> </w:t>
      </w:r>
      <w:r w:rsidRPr="00B31C76">
        <w:rPr>
          <w:rFonts w:ascii="Times New Roman" w:eastAsia="Times New Roman" w:hAnsi="Times New Roman" w:cs="Times New Roman"/>
          <w:color w:val="222222"/>
          <w:sz w:val="20"/>
          <w:szCs w:val="20"/>
          <w:shd w:val="clear" w:color="auto" w:fill="FFFFFF"/>
        </w:rPr>
        <w:t xml:space="preserve">¶ </w:t>
      </w:r>
      <w:r w:rsidRPr="00B31C76">
        <w:rPr>
          <w:rFonts w:ascii="Times New Roman" w:eastAsia="Times New Roman" w:hAnsi="Times New Roman" w:cs="Times New Roman"/>
          <w:sz w:val="20"/>
          <w:szCs w:val="20"/>
        </w:rPr>
        <w:t xml:space="preserve">172-73. </w:t>
      </w:r>
    </w:p>
  </w:footnote>
  <w:footnote w:id="62">
    <w:p w14:paraId="076899D3" w14:textId="0BE37449" w:rsidR="00D4791C" w:rsidRPr="00B31C76" w:rsidRDefault="00D4791C" w:rsidP="00B31C76">
      <w:pPr>
        <w:pStyle w:val="FootnoteText"/>
        <w:jc w:val="both"/>
        <w:rPr>
          <w:rFonts w:ascii="Times New Roman" w:hAnsi="Times New Roman" w:cs="Times New Roman"/>
          <w:sz w:val="20"/>
          <w:szCs w:val="20"/>
        </w:rPr>
      </w:pPr>
      <w:r w:rsidRPr="00B31C76">
        <w:rPr>
          <w:rStyle w:val="FootnoteReference"/>
          <w:rFonts w:ascii="Times New Roman" w:hAnsi="Times New Roman" w:cs="Times New Roman"/>
          <w:sz w:val="20"/>
          <w:szCs w:val="20"/>
        </w:rPr>
        <w:footnoteRef/>
      </w:r>
      <w:r w:rsidRPr="00B31C76">
        <w:rPr>
          <w:rFonts w:ascii="Times New Roman" w:hAnsi="Times New Roman" w:cs="Times New Roman"/>
          <w:sz w:val="20"/>
          <w:szCs w:val="20"/>
        </w:rPr>
        <w:t xml:space="preserve"> </w:t>
      </w:r>
      <w:r w:rsidRPr="00B31C76">
        <w:rPr>
          <w:rFonts w:ascii="Times New Roman" w:hAnsi="Times New Roman" w:cs="Times New Roman"/>
          <w:sz w:val="20"/>
          <w:szCs w:val="20"/>
          <w:u w:val="single"/>
        </w:rPr>
        <w:t>Ashoka</w:t>
      </w:r>
      <w:r w:rsidRPr="00B31C76">
        <w:rPr>
          <w:rFonts w:ascii="Times New Roman" w:hAnsi="Times New Roman" w:cs="Times New Roman"/>
          <w:sz w:val="20"/>
          <w:szCs w:val="20"/>
        </w:rPr>
        <w:t xml:space="preserve"> at </w:t>
      </w:r>
      <w:r w:rsidRPr="00B31C76">
        <w:rPr>
          <w:rFonts w:ascii="Times New Roman" w:eastAsia="Times New Roman" w:hAnsi="Times New Roman" w:cs="Times New Roman"/>
          <w:color w:val="222222"/>
          <w:sz w:val="20"/>
          <w:szCs w:val="20"/>
          <w:shd w:val="clear" w:color="auto" w:fill="FFFFFF"/>
        </w:rPr>
        <w:t xml:space="preserve">¶ </w:t>
      </w:r>
      <w:r w:rsidRPr="00B31C76">
        <w:rPr>
          <w:rFonts w:ascii="Times New Roman" w:hAnsi="Times New Roman" w:cs="Times New Roman"/>
          <w:sz w:val="20"/>
          <w:szCs w:val="20"/>
        </w:rPr>
        <w:t xml:space="preserve">172. </w:t>
      </w:r>
    </w:p>
  </w:footnote>
  <w:footnote w:id="63">
    <w:p w14:paraId="27714015" w14:textId="720E1278" w:rsidR="00D4791C" w:rsidRPr="00B31C76" w:rsidRDefault="00D4791C" w:rsidP="00B31C76">
      <w:pPr>
        <w:jc w:val="both"/>
        <w:rPr>
          <w:rFonts w:ascii="Times New Roman" w:eastAsia="Times New Roman" w:hAnsi="Times New Roman" w:cs="Times New Roman"/>
          <w:sz w:val="20"/>
          <w:szCs w:val="20"/>
        </w:rPr>
      </w:pPr>
      <w:r w:rsidRPr="00B31C76">
        <w:rPr>
          <w:rStyle w:val="FootnoteReference"/>
          <w:rFonts w:ascii="Times New Roman" w:hAnsi="Times New Roman" w:cs="Times New Roman"/>
          <w:sz w:val="20"/>
          <w:szCs w:val="20"/>
        </w:rPr>
        <w:footnoteRef/>
      </w:r>
      <w:r w:rsidRPr="00B31C76">
        <w:rPr>
          <w:rFonts w:ascii="Times New Roman" w:hAnsi="Times New Roman" w:cs="Times New Roman"/>
          <w:sz w:val="20"/>
          <w:szCs w:val="20"/>
        </w:rPr>
        <w:t xml:space="preserve"> “</w:t>
      </w:r>
      <w:r w:rsidRPr="00B31C76">
        <w:rPr>
          <w:rFonts w:ascii="Times New Roman" w:eastAsia="Times New Roman" w:hAnsi="Times New Roman" w:cs="Times New Roman"/>
          <w:color w:val="000000"/>
          <w:sz w:val="20"/>
          <w:szCs w:val="20"/>
          <w:shd w:val="clear" w:color="auto" w:fill="FFFFFF"/>
        </w:rPr>
        <w:t xml:space="preserve">All human rights are universal, indivisible and interdependent and interrelated. The international community must treat human rights globally in a fair and equal manner, on the same footing, and with the same emphasis. While the significance of national and regional particularities and various historical, cultural and religious backgrounds must be borne in mind, it is the duty of States, regardless of their political, economic and cultural systems, to promote and protect all human rights and fundamental freedoms.” </w:t>
      </w:r>
      <w:r w:rsidRPr="00B31C76">
        <w:rPr>
          <w:rFonts w:ascii="Times New Roman" w:eastAsia="Times New Roman" w:hAnsi="Times New Roman" w:cs="Times New Roman"/>
          <w:color w:val="000000"/>
          <w:sz w:val="20"/>
          <w:szCs w:val="20"/>
          <w:u w:val="single"/>
          <w:shd w:val="clear" w:color="auto" w:fill="FFFFFF"/>
        </w:rPr>
        <w:t xml:space="preserve">Vienna Declaration and </w:t>
      </w:r>
      <w:proofErr w:type="spellStart"/>
      <w:r w:rsidRPr="00B31C76">
        <w:rPr>
          <w:rFonts w:ascii="Times New Roman" w:eastAsia="Times New Roman" w:hAnsi="Times New Roman" w:cs="Times New Roman"/>
          <w:color w:val="000000"/>
          <w:sz w:val="20"/>
          <w:szCs w:val="20"/>
          <w:u w:val="single"/>
          <w:shd w:val="clear" w:color="auto" w:fill="FFFFFF"/>
        </w:rPr>
        <w:t>Programme</w:t>
      </w:r>
      <w:proofErr w:type="spellEnd"/>
      <w:r w:rsidRPr="00B31C76">
        <w:rPr>
          <w:rFonts w:ascii="Times New Roman" w:eastAsia="Times New Roman" w:hAnsi="Times New Roman" w:cs="Times New Roman"/>
          <w:color w:val="000000"/>
          <w:sz w:val="20"/>
          <w:szCs w:val="20"/>
          <w:u w:val="single"/>
          <w:shd w:val="clear" w:color="auto" w:fill="FFFFFF"/>
        </w:rPr>
        <w:t xml:space="preserve"> of Action</w:t>
      </w:r>
      <w:r w:rsidRPr="00B31C76">
        <w:rPr>
          <w:rFonts w:ascii="Times New Roman" w:eastAsia="Times New Roman" w:hAnsi="Times New Roman" w:cs="Times New Roman"/>
          <w:color w:val="000000"/>
          <w:sz w:val="20"/>
          <w:szCs w:val="20"/>
          <w:shd w:val="clear" w:color="auto" w:fill="FFFFFF"/>
        </w:rPr>
        <w:t xml:space="preserve"> </w:t>
      </w:r>
      <w:r w:rsidRPr="00B31C76">
        <w:rPr>
          <w:rFonts w:ascii="Times New Roman" w:eastAsia="Times New Roman" w:hAnsi="Times New Roman" w:cs="Times New Roman"/>
          <w:color w:val="222222"/>
          <w:sz w:val="20"/>
          <w:szCs w:val="20"/>
          <w:shd w:val="clear" w:color="auto" w:fill="FFFFFF"/>
        </w:rPr>
        <w:t xml:space="preserve">¶ </w:t>
      </w:r>
      <w:proofErr w:type="gramStart"/>
      <w:r w:rsidRPr="00B31C76">
        <w:rPr>
          <w:rFonts w:ascii="Times New Roman" w:eastAsia="Times New Roman" w:hAnsi="Times New Roman" w:cs="Times New Roman"/>
          <w:color w:val="000000"/>
          <w:sz w:val="20"/>
          <w:szCs w:val="20"/>
          <w:shd w:val="clear" w:color="auto" w:fill="FFFFFF"/>
        </w:rPr>
        <w:t>5  (</w:t>
      </w:r>
      <w:proofErr w:type="gramEnd"/>
      <w:r w:rsidRPr="00B31C76">
        <w:rPr>
          <w:rFonts w:ascii="Times New Roman" w:eastAsia="Times New Roman" w:hAnsi="Times New Roman" w:cs="Times New Roman"/>
          <w:color w:val="000000"/>
          <w:sz w:val="20"/>
          <w:szCs w:val="20"/>
          <w:shd w:val="clear" w:color="auto" w:fill="FFFFFF"/>
        </w:rPr>
        <w:t>25 June 1993).</w:t>
      </w:r>
    </w:p>
  </w:footnote>
  <w:footnote w:id="64">
    <w:p w14:paraId="0A627F5A" w14:textId="26121937" w:rsidR="00D4791C" w:rsidRPr="00F370A9" w:rsidRDefault="00D4791C" w:rsidP="00F370A9">
      <w:pPr>
        <w:widowControl w:val="0"/>
        <w:autoSpaceDE w:val="0"/>
        <w:autoSpaceDN w:val="0"/>
        <w:adjustRightInd w:val="0"/>
        <w:jc w:val="both"/>
        <w:rPr>
          <w:rFonts w:ascii="Times New Roman" w:hAnsi="Times New Roman" w:cs="Times New Roman"/>
          <w:sz w:val="20"/>
          <w:szCs w:val="20"/>
        </w:rPr>
      </w:pPr>
      <w:r w:rsidRPr="00F370A9">
        <w:rPr>
          <w:rStyle w:val="FootnoteReference"/>
          <w:rFonts w:ascii="Times New Roman" w:hAnsi="Times New Roman" w:cs="Times New Roman"/>
          <w:sz w:val="20"/>
          <w:szCs w:val="20"/>
        </w:rPr>
        <w:footnoteRef/>
      </w:r>
      <w:r w:rsidRPr="00F370A9">
        <w:rPr>
          <w:rFonts w:ascii="Times New Roman" w:hAnsi="Times New Roman" w:cs="Times New Roman"/>
          <w:sz w:val="20"/>
          <w:szCs w:val="20"/>
        </w:rPr>
        <w:t xml:space="preserve"> This is evident from Justice Souter’s dissenting opinion, which she joined: “The record does not describe a system with a quota like the one struck down in Bakke, which insulate[d] all nonminority candidates from competition from certain seats.” </w:t>
      </w:r>
      <w:r w:rsidRPr="00F370A9">
        <w:rPr>
          <w:rFonts w:ascii="Times New Roman" w:hAnsi="Times New Roman" w:cs="Times New Roman"/>
          <w:sz w:val="20"/>
          <w:szCs w:val="20"/>
          <w:u w:val="single"/>
        </w:rPr>
        <w:t>Gratz</w:t>
      </w:r>
      <w:r w:rsidRPr="00F370A9">
        <w:rPr>
          <w:rFonts w:ascii="Times New Roman" w:hAnsi="Times New Roman" w:cs="Times New Roman"/>
          <w:sz w:val="20"/>
          <w:szCs w:val="20"/>
        </w:rPr>
        <w:t xml:space="preserve"> at 293 (Souter, J., dissenting). </w:t>
      </w:r>
    </w:p>
  </w:footnote>
  <w:footnote w:id="65">
    <w:p w14:paraId="189D7A80" w14:textId="0E1ED0B9" w:rsidR="00D4791C" w:rsidRPr="00F370A9" w:rsidRDefault="00D4791C" w:rsidP="00F370A9">
      <w:pPr>
        <w:pStyle w:val="FootnoteText"/>
        <w:jc w:val="both"/>
        <w:rPr>
          <w:rFonts w:ascii="Times New Roman" w:hAnsi="Times New Roman" w:cs="Times New Roman"/>
          <w:sz w:val="20"/>
          <w:szCs w:val="20"/>
        </w:rPr>
      </w:pPr>
      <w:r w:rsidRPr="00F370A9">
        <w:rPr>
          <w:rStyle w:val="FootnoteReference"/>
          <w:rFonts w:ascii="Times New Roman" w:hAnsi="Times New Roman" w:cs="Times New Roman"/>
          <w:sz w:val="20"/>
          <w:szCs w:val="20"/>
        </w:rPr>
        <w:footnoteRef/>
      </w:r>
      <w:r w:rsidRPr="00F370A9">
        <w:rPr>
          <w:rFonts w:ascii="Times New Roman" w:hAnsi="Times New Roman" w:cs="Times New Roman"/>
          <w:sz w:val="20"/>
          <w:szCs w:val="20"/>
          <w:u w:val="single"/>
        </w:rPr>
        <w:t xml:space="preserve">Gratz </w:t>
      </w:r>
      <w:r w:rsidRPr="00F370A9">
        <w:rPr>
          <w:rFonts w:ascii="Times New Roman" w:hAnsi="Times New Roman" w:cs="Times New Roman"/>
          <w:sz w:val="20"/>
          <w:szCs w:val="20"/>
        </w:rPr>
        <w:t xml:space="preserve">at 301(Ginsburg, J., dissenting).  </w:t>
      </w:r>
    </w:p>
  </w:footnote>
  <w:footnote w:id="66">
    <w:p w14:paraId="2D2F9A06" w14:textId="01B613B0" w:rsidR="00D4791C" w:rsidRPr="00F370A9" w:rsidRDefault="00D4791C" w:rsidP="00F370A9">
      <w:pPr>
        <w:pStyle w:val="FootnoteText"/>
        <w:jc w:val="both"/>
        <w:rPr>
          <w:rFonts w:ascii="Times New Roman" w:hAnsi="Times New Roman" w:cs="Times New Roman"/>
          <w:sz w:val="20"/>
          <w:szCs w:val="20"/>
        </w:rPr>
      </w:pPr>
      <w:r w:rsidRPr="00F370A9">
        <w:rPr>
          <w:rStyle w:val="FootnoteReference"/>
          <w:rFonts w:ascii="Times New Roman" w:hAnsi="Times New Roman" w:cs="Times New Roman"/>
          <w:sz w:val="20"/>
          <w:szCs w:val="20"/>
        </w:rPr>
        <w:footnoteRef/>
      </w:r>
      <w:r w:rsidRPr="00F370A9">
        <w:rPr>
          <w:rFonts w:ascii="Times New Roman" w:hAnsi="Times New Roman" w:cs="Times New Roman"/>
          <w:sz w:val="20"/>
          <w:szCs w:val="20"/>
          <w:u w:val="single"/>
        </w:rPr>
        <w:t>Id</w:t>
      </w:r>
      <w:r w:rsidRPr="00F370A9">
        <w:rPr>
          <w:rFonts w:ascii="Times New Roman" w:hAnsi="Times New Roman" w:cs="Times New Roman"/>
          <w:sz w:val="20"/>
          <w:szCs w:val="20"/>
        </w:rPr>
        <w:t xml:space="preserve">.  </w:t>
      </w:r>
    </w:p>
  </w:footnote>
  <w:footnote w:id="67">
    <w:p w14:paraId="67378E31" w14:textId="50B7962C" w:rsidR="00D4791C" w:rsidRPr="00F370A9" w:rsidRDefault="00D4791C" w:rsidP="00F370A9">
      <w:pPr>
        <w:pStyle w:val="FootnoteText"/>
        <w:jc w:val="both"/>
        <w:rPr>
          <w:rFonts w:ascii="Times New Roman" w:hAnsi="Times New Roman" w:cs="Times New Roman"/>
          <w:sz w:val="20"/>
          <w:szCs w:val="20"/>
        </w:rPr>
      </w:pPr>
      <w:r w:rsidRPr="00F370A9">
        <w:rPr>
          <w:rStyle w:val="FootnoteReference"/>
          <w:rFonts w:ascii="Times New Roman" w:hAnsi="Times New Roman" w:cs="Times New Roman"/>
          <w:sz w:val="20"/>
          <w:szCs w:val="20"/>
        </w:rPr>
        <w:footnoteRef/>
      </w:r>
      <w:r w:rsidRPr="00F370A9">
        <w:rPr>
          <w:rFonts w:ascii="Times New Roman" w:hAnsi="Times New Roman" w:cs="Times New Roman"/>
          <w:sz w:val="20"/>
          <w:szCs w:val="20"/>
        </w:rPr>
        <w:t xml:space="preserve"> Justice Ginsburg says the following about how to scrutinize equality promoting affirmative action policies: “The mere assertion of a laudable governmental purpose, of course, should not immunize a race-conscious measure from careful judicial inspection. The criterion is the relevancy of color to a legitimate governmental purpose. Close review is needed to ferret out classifications in reality malign, but masquerading as benign, and to ensure that preferences are not so large as to trammel unduly upon the opportunities of others or interfere too harshly with legitimate expectations of persons in once-preferred groups.” </w:t>
      </w:r>
      <w:r w:rsidRPr="00F370A9">
        <w:rPr>
          <w:rFonts w:ascii="Times New Roman" w:hAnsi="Times New Roman" w:cs="Times New Roman"/>
          <w:sz w:val="20"/>
          <w:szCs w:val="20"/>
          <w:u w:val="single"/>
        </w:rPr>
        <w:t>Gratz</w:t>
      </w:r>
      <w:r w:rsidRPr="00F370A9">
        <w:rPr>
          <w:rFonts w:ascii="Times New Roman" w:hAnsi="Times New Roman" w:cs="Times New Roman"/>
          <w:sz w:val="20"/>
          <w:szCs w:val="20"/>
        </w:rPr>
        <w:t xml:space="preserve"> at 302 (Ginsburg, J., dissenting). </w:t>
      </w:r>
    </w:p>
  </w:footnote>
  <w:footnote w:id="68">
    <w:p w14:paraId="4AB921EE" w14:textId="2763E925" w:rsidR="00D4791C" w:rsidRPr="008B47AA" w:rsidRDefault="00D4791C" w:rsidP="00F370A9">
      <w:pPr>
        <w:pStyle w:val="FootnoteText"/>
        <w:jc w:val="both"/>
        <w:rPr>
          <w:rFonts w:ascii="Times New Roman" w:hAnsi="Times New Roman" w:cs="Times New Roman"/>
          <w:sz w:val="20"/>
          <w:szCs w:val="20"/>
        </w:rPr>
      </w:pPr>
      <w:r w:rsidRPr="00F370A9">
        <w:rPr>
          <w:rStyle w:val="FootnoteReference"/>
          <w:rFonts w:ascii="Times New Roman" w:hAnsi="Times New Roman" w:cs="Times New Roman"/>
          <w:sz w:val="20"/>
          <w:szCs w:val="20"/>
        </w:rPr>
        <w:footnoteRef/>
      </w:r>
      <w:r w:rsidRPr="00F370A9">
        <w:rPr>
          <w:rFonts w:ascii="Times New Roman" w:hAnsi="Times New Roman" w:cs="Times New Roman"/>
          <w:sz w:val="20"/>
          <w:szCs w:val="20"/>
        </w:rPr>
        <w:t xml:space="preserve"> </w:t>
      </w:r>
      <w:r w:rsidRPr="00F370A9">
        <w:rPr>
          <w:rFonts w:ascii="Times New Roman" w:hAnsi="Times New Roman" w:cs="Times New Roman"/>
          <w:sz w:val="20"/>
          <w:szCs w:val="20"/>
          <w:u w:val="single"/>
        </w:rPr>
        <w:t>Id</w:t>
      </w:r>
      <w:r w:rsidRPr="00F370A9">
        <w:rPr>
          <w:rFonts w:ascii="Times New Roman" w:hAnsi="Times New Roman" w:cs="Times New Roman"/>
          <w:sz w:val="20"/>
          <w:szCs w:val="20"/>
        </w:rPr>
        <w:t>.</w:t>
      </w:r>
      <w:r w:rsidRPr="008B47AA">
        <w:rPr>
          <w:rFonts w:ascii="Times New Roman" w:hAnsi="Times New Roman" w:cs="Times New Roman"/>
          <w:sz w:val="20"/>
          <w:szCs w:val="20"/>
        </w:rPr>
        <w:t xml:space="preserve"> </w:t>
      </w:r>
    </w:p>
  </w:footnote>
  <w:footnote w:id="69">
    <w:p w14:paraId="18689FCE" w14:textId="07871CE7" w:rsidR="00D4791C" w:rsidRPr="00C063C3" w:rsidRDefault="00D4791C" w:rsidP="007A27A0">
      <w:pPr>
        <w:pStyle w:val="FootnoteText"/>
        <w:jc w:val="both"/>
        <w:rPr>
          <w:rFonts w:ascii="Times New Roman" w:hAnsi="Times New Roman" w:cs="Times New Roman"/>
          <w:sz w:val="20"/>
          <w:szCs w:val="20"/>
        </w:rPr>
      </w:pPr>
      <w:r w:rsidRPr="008B47AA">
        <w:rPr>
          <w:rStyle w:val="FootnoteReference"/>
          <w:rFonts w:ascii="Times New Roman" w:hAnsi="Times New Roman" w:cs="Times New Roman"/>
          <w:sz w:val="20"/>
          <w:szCs w:val="20"/>
        </w:rPr>
        <w:footnoteRef/>
      </w:r>
      <w:r w:rsidRPr="007A27A0">
        <w:rPr>
          <w:rFonts w:ascii="Times New Roman" w:hAnsi="Times New Roman" w:cs="Times New Roman"/>
          <w:sz w:val="20"/>
          <w:szCs w:val="20"/>
          <w:u w:val="single"/>
        </w:rPr>
        <w:t xml:space="preserve"> Grutter</w:t>
      </w:r>
      <w:r w:rsidRPr="008B47AA">
        <w:rPr>
          <w:rFonts w:ascii="Times New Roman" w:hAnsi="Times New Roman" w:cs="Times New Roman"/>
          <w:sz w:val="20"/>
          <w:szCs w:val="20"/>
        </w:rPr>
        <w:t xml:space="preserve"> at 344</w:t>
      </w:r>
      <w:r>
        <w:rPr>
          <w:rFonts w:ascii="Times New Roman" w:hAnsi="Times New Roman" w:cs="Times New Roman"/>
          <w:sz w:val="20"/>
          <w:szCs w:val="20"/>
        </w:rPr>
        <w:t xml:space="preserve"> (Ginsburg, J., concurring)</w:t>
      </w:r>
      <w:r w:rsidRPr="008B47AA">
        <w:rPr>
          <w:rFonts w:ascii="Times New Roman" w:hAnsi="Times New Roman" w:cs="Times New Roman"/>
          <w:sz w:val="20"/>
          <w:szCs w:val="20"/>
        </w:rPr>
        <w:t>.</w:t>
      </w:r>
      <w:r w:rsidRPr="00C063C3">
        <w:rPr>
          <w:rFonts w:ascii="Times New Roman" w:hAnsi="Times New Roman" w:cs="Times New Roman"/>
          <w:sz w:val="20"/>
          <w:szCs w:val="20"/>
        </w:rPr>
        <w:t xml:space="preserve"> </w:t>
      </w:r>
    </w:p>
  </w:footnote>
  <w:footnote w:id="70">
    <w:p w14:paraId="4FEDD1FB" w14:textId="01FF5AC4" w:rsidR="00D4791C" w:rsidRPr="005777FC" w:rsidRDefault="00D4791C" w:rsidP="007A27A0">
      <w:pPr>
        <w:widowControl w:val="0"/>
        <w:autoSpaceDE w:val="0"/>
        <w:autoSpaceDN w:val="0"/>
        <w:adjustRightInd w:val="0"/>
        <w:jc w:val="both"/>
        <w:rPr>
          <w:rFonts w:ascii="Times New Roman" w:hAnsi="Times New Roman" w:cs="Times New Roman"/>
          <w:sz w:val="20"/>
          <w:szCs w:val="20"/>
        </w:rPr>
      </w:pPr>
      <w:r w:rsidRPr="00C063C3">
        <w:rPr>
          <w:rStyle w:val="FootnoteReference"/>
          <w:rFonts w:ascii="Times New Roman" w:hAnsi="Times New Roman" w:cs="Times New Roman"/>
          <w:sz w:val="20"/>
          <w:szCs w:val="20"/>
        </w:rPr>
        <w:footnoteRef/>
      </w:r>
      <w:r w:rsidRPr="00C063C3">
        <w:rPr>
          <w:rFonts w:ascii="Times New Roman" w:hAnsi="Times New Roman" w:cs="Times New Roman"/>
          <w:sz w:val="20"/>
          <w:szCs w:val="20"/>
        </w:rPr>
        <w:t xml:space="preserve"> </w:t>
      </w:r>
      <w:r>
        <w:rPr>
          <w:rFonts w:ascii="Times New Roman" w:hAnsi="Times New Roman" w:cs="Times New Roman"/>
          <w:sz w:val="20"/>
          <w:szCs w:val="20"/>
        </w:rPr>
        <w:t xml:space="preserve">Susan H. Farbstein, Justice Ginsburg’s International Perspective, in </w:t>
      </w:r>
      <w:r w:rsidRPr="005777FC">
        <w:rPr>
          <w:rFonts w:ascii="Times New Roman" w:hAnsi="Times New Roman" w:cs="Times New Roman"/>
          <w:sz w:val="20"/>
          <w:szCs w:val="20"/>
          <w:u w:val="single"/>
        </w:rPr>
        <w:t>Essays in Honor of Justice Ruth Bader Ginsburg</w:t>
      </w:r>
      <w:r w:rsidRPr="005777FC">
        <w:rPr>
          <w:rFonts w:ascii="Times New Roman" w:hAnsi="Times New Roman" w:cs="Times New Roman"/>
          <w:sz w:val="20"/>
          <w:szCs w:val="20"/>
        </w:rPr>
        <w:t xml:space="preserve"> </w:t>
      </w:r>
      <w:r>
        <w:rPr>
          <w:rFonts w:ascii="Times New Roman" w:hAnsi="Times New Roman" w:cs="Times New Roman"/>
          <w:sz w:val="20"/>
          <w:szCs w:val="20"/>
        </w:rPr>
        <w:t>(Feb. 4, 2013) (on file with the Harvard Law School Library), p. 38.</w:t>
      </w:r>
      <w:r>
        <w:t xml:space="preserve"> </w:t>
      </w:r>
    </w:p>
  </w:footnote>
  <w:footnote w:id="71">
    <w:p w14:paraId="12103E1A" w14:textId="5BF6ED89" w:rsidR="00D4791C" w:rsidRPr="00E01E85" w:rsidRDefault="00D4791C" w:rsidP="007A27A0">
      <w:pPr>
        <w:pStyle w:val="FootnoteText"/>
        <w:jc w:val="both"/>
        <w:rPr>
          <w:rFonts w:ascii="Times New Roman" w:hAnsi="Times New Roman" w:cs="Times New Roman"/>
          <w:sz w:val="20"/>
          <w:szCs w:val="20"/>
        </w:rPr>
      </w:pPr>
      <w:r w:rsidRPr="00E01E85">
        <w:rPr>
          <w:rStyle w:val="FootnoteReference"/>
          <w:rFonts w:ascii="Times New Roman" w:hAnsi="Times New Roman" w:cs="Times New Roman"/>
          <w:sz w:val="20"/>
          <w:szCs w:val="20"/>
        </w:rPr>
        <w:footnoteRef/>
      </w:r>
      <w:r w:rsidRPr="00E01E85">
        <w:rPr>
          <w:rFonts w:ascii="Times New Roman" w:hAnsi="Times New Roman" w:cs="Times New Roman"/>
          <w:sz w:val="20"/>
          <w:szCs w:val="20"/>
        </w:rPr>
        <w:t xml:space="preserve"> </w:t>
      </w:r>
      <w:r w:rsidRPr="005777FC">
        <w:rPr>
          <w:rFonts w:ascii="Times New Roman" w:hAnsi="Times New Roman" w:cs="Times New Roman"/>
          <w:sz w:val="20"/>
          <w:szCs w:val="20"/>
          <w:u w:val="single"/>
        </w:rPr>
        <w:t>Id</w:t>
      </w:r>
      <w:r>
        <w:rPr>
          <w:rFonts w:ascii="Times New Roman" w:hAnsi="Times New Roman" w:cs="Times New Roman"/>
          <w:sz w:val="20"/>
          <w:szCs w:val="20"/>
        </w:rPr>
        <w:t>.</w:t>
      </w:r>
      <w:r w:rsidRPr="00E01E85">
        <w:rPr>
          <w:rFonts w:ascii="Times New Roman" w:hAnsi="Times New Roman" w:cs="Times New Roman"/>
          <w:sz w:val="20"/>
          <w:szCs w:val="20"/>
        </w:rPr>
        <w:t xml:space="preserve"> 39. </w:t>
      </w:r>
    </w:p>
  </w:footnote>
  <w:footnote w:id="72">
    <w:p w14:paraId="0392D628" w14:textId="60EA447D" w:rsidR="00D4791C" w:rsidRPr="00211E38" w:rsidRDefault="00D4791C" w:rsidP="00211E38">
      <w:pPr>
        <w:jc w:val="both"/>
        <w:rPr>
          <w:rFonts w:ascii="Times New Roman" w:eastAsia="Times New Roman" w:hAnsi="Times New Roman" w:cs="Times New Roman"/>
          <w:sz w:val="20"/>
          <w:szCs w:val="20"/>
        </w:rPr>
      </w:pPr>
      <w:r w:rsidRPr="00E01E85">
        <w:rPr>
          <w:rStyle w:val="FootnoteReference"/>
          <w:rFonts w:ascii="Times New Roman" w:hAnsi="Times New Roman" w:cs="Times New Roman"/>
          <w:sz w:val="20"/>
          <w:szCs w:val="20"/>
        </w:rPr>
        <w:footnoteRef/>
      </w:r>
      <w:r w:rsidRPr="00E01E85">
        <w:rPr>
          <w:rFonts w:ascii="Times New Roman" w:hAnsi="Times New Roman" w:cs="Times New Roman"/>
          <w:sz w:val="20"/>
          <w:szCs w:val="20"/>
        </w:rPr>
        <w:t xml:space="preserve"> </w:t>
      </w:r>
      <w:r>
        <w:rPr>
          <w:rFonts w:ascii="Times New Roman" w:hAnsi="Times New Roman" w:cs="Times New Roman"/>
          <w:sz w:val="20"/>
          <w:szCs w:val="20"/>
        </w:rPr>
        <w:t>“</w:t>
      </w:r>
      <w:r w:rsidRPr="00E01E85">
        <w:rPr>
          <w:rFonts w:ascii="Times New Roman" w:eastAsia="Times New Roman" w:hAnsi="Times New Roman" w:cs="Times New Roman"/>
          <w:color w:val="333333"/>
          <w:sz w:val="20"/>
          <w:szCs w:val="20"/>
          <w:shd w:val="clear" w:color="auto" w:fill="FFFFFF"/>
        </w:rPr>
        <w:t>It may be assumed that the reservation of a specified number of seats in each class for individuals from the preferred ethnic groups would contribute to the attainment of considerable ethnic diversity in the student body. But petitioner's argument that this is the only effective means of serving the interest of diversity is seriously flawed. In a most fundamental sense, the argument misconceives the nature of the state interest that would justify consideration of race or ethnic background. It is not an interest in simple ethnic diversity, in which a specified percentage of the student body is in effect guaranteed to be members of selected ethnic groups, with the remaining percentage an undifferentiated aggregation of students. The diversity that furthers a compelling state interest encompasses a far broader array of qualifications and characteristics, of which racial or ethnic origin is but a single, though important, element.</w:t>
      </w:r>
      <w:r>
        <w:rPr>
          <w:rFonts w:ascii="Times New Roman" w:eastAsia="Times New Roman" w:hAnsi="Times New Roman" w:cs="Times New Roman"/>
          <w:color w:val="333333"/>
          <w:sz w:val="20"/>
          <w:szCs w:val="20"/>
          <w:shd w:val="clear" w:color="auto" w:fill="FFFFFF"/>
        </w:rPr>
        <w:t xml:space="preserve">” </w:t>
      </w:r>
      <w:r w:rsidRPr="00AD3B12">
        <w:rPr>
          <w:rFonts w:ascii="Times New Roman" w:eastAsia="Times New Roman" w:hAnsi="Times New Roman" w:cs="Times New Roman"/>
          <w:color w:val="333333"/>
          <w:sz w:val="20"/>
          <w:szCs w:val="20"/>
          <w:u w:val="single"/>
          <w:shd w:val="clear" w:color="auto" w:fill="FFFFFF"/>
        </w:rPr>
        <w:t>Regents of the University of California v. Bakke</w:t>
      </w:r>
      <w:r>
        <w:rPr>
          <w:rFonts w:ascii="Times New Roman" w:eastAsia="Times New Roman" w:hAnsi="Times New Roman" w:cs="Times New Roman"/>
          <w:color w:val="333333"/>
          <w:sz w:val="20"/>
          <w:szCs w:val="20"/>
          <w:shd w:val="clear" w:color="auto" w:fill="FFFFFF"/>
        </w:rPr>
        <w:t>, 438 U.S. 265, 315 (1978) (Powell, J., Judgment of the Court).</w:t>
      </w:r>
    </w:p>
  </w:footnote>
  <w:footnote w:id="73">
    <w:p w14:paraId="32F0AEAF" w14:textId="46F378B2" w:rsidR="00D4791C" w:rsidRPr="00211E38" w:rsidRDefault="00D4791C" w:rsidP="00211E38">
      <w:pPr>
        <w:pStyle w:val="FootnoteText"/>
        <w:jc w:val="both"/>
        <w:rPr>
          <w:rFonts w:ascii="Times New Roman" w:hAnsi="Times New Roman" w:cs="Times New Roman"/>
          <w:sz w:val="20"/>
          <w:szCs w:val="20"/>
        </w:rPr>
      </w:pPr>
      <w:r w:rsidRPr="00211E38">
        <w:rPr>
          <w:rStyle w:val="FootnoteReference"/>
          <w:rFonts w:ascii="Times New Roman" w:hAnsi="Times New Roman" w:cs="Times New Roman"/>
          <w:sz w:val="20"/>
          <w:szCs w:val="20"/>
        </w:rPr>
        <w:footnoteRef/>
      </w:r>
      <w:r w:rsidRPr="00211E38">
        <w:rPr>
          <w:rFonts w:ascii="Times New Roman" w:hAnsi="Times New Roman" w:cs="Times New Roman"/>
          <w:sz w:val="20"/>
          <w:szCs w:val="20"/>
        </w:rPr>
        <w:t xml:space="preserve"> </w:t>
      </w:r>
      <w:r w:rsidRPr="007A27A0">
        <w:rPr>
          <w:rFonts w:ascii="Times New Roman" w:hAnsi="Times New Roman" w:cs="Times New Roman"/>
          <w:i/>
          <w:sz w:val="20"/>
          <w:szCs w:val="20"/>
        </w:rPr>
        <w:t>See</w:t>
      </w:r>
      <w:r>
        <w:rPr>
          <w:rFonts w:ascii="Times New Roman" w:hAnsi="Times New Roman" w:cs="Times New Roman"/>
          <w:sz w:val="20"/>
          <w:szCs w:val="20"/>
        </w:rPr>
        <w:t xml:space="preserve"> footnote 56. </w:t>
      </w:r>
    </w:p>
  </w:footnote>
  <w:footnote w:id="74">
    <w:p w14:paraId="6A77A81C" w14:textId="4224E4D3" w:rsidR="00D4791C" w:rsidRPr="002B4A23" w:rsidRDefault="00D4791C" w:rsidP="002B4A23">
      <w:pPr>
        <w:pStyle w:val="FootnoteText"/>
        <w:jc w:val="both"/>
        <w:rPr>
          <w:rFonts w:ascii="Times New Roman" w:hAnsi="Times New Roman" w:cs="Times New Roman"/>
          <w:sz w:val="20"/>
          <w:szCs w:val="20"/>
        </w:rPr>
      </w:pPr>
      <w:r w:rsidRPr="002B4A23">
        <w:rPr>
          <w:rStyle w:val="FootnoteReference"/>
          <w:rFonts w:ascii="Times New Roman" w:hAnsi="Times New Roman" w:cs="Times New Roman"/>
          <w:sz w:val="20"/>
          <w:szCs w:val="20"/>
        </w:rPr>
        <w:footnoteRef/>
      </w:r>
      <w:r w:rsidRPr="002B4A23">
        <w:rPr>
          <w:rFonts w:ascii="Times New Roman" w:hAnsi="Times New Roman" w:cs="Times New Roman"/>
          <w:sz w:val="20"/>
          <w:szCs w:val="20"/>
        </w:rPr>
        <w:t xml:space="preserve"> </w:t>
      </w:r>
      <w:r w:rsidRPr="00AD3B12">
        <w:rPr>
          <w:rFonts w:ascii="Times New Roman" w:hAnsi="Times New Roman" w:cs="Times New Roman"/>
          <w:sz w:val="20"/>
          <w:szCs w:val="20"/>
          <w:u w:val="single"/>
        </w:rPr>
        <w:t>Gratz</w:t>
      </w:r>
      <w:r w:rsidRPr="002B4A23">
        <w:rPr>
          <w:rFonts w:ascii="Times New Roman" w:hAnsi="Times New Roman" w:cs="Times New Roman"/>
          <w:sz w:val="20"/>
          <w:szCs w:val="20"/>
        </w:rPr>
        <w:t xml:space="preserve"> </w:t>
      </w:r>
      <w:r>
        <w:rPr>
          <w:rFonts w:ascii="Times New Roman" w:hAnsi="Times New Roman" w:cs="Times New Roman"/>
          <w:sz w:val="20"/>
          <w:szCs w:val="20"/>
        </w:rPr>
        <w:t xml:space="preserve">at </w:t>
      </w:r>
      <w:r w:rsidRPr="002B4A23">
        <w:rPr>
          <w:rFonts w:ascii="Times New Roman" w:hAnsi="Times New Roman" w:cs="Times New Roman"/>
          <w:sz w:val="20"/>
          <w:szCs w:val="20"/>
        </w:rPr>
        <w:t>304</w:t>
      </w:r>
      <w:r>
        <w:rPr>
          <w:rFonts w:ascii="Times New Roman" w:hAnsi="Times New Roman" w:cs="Times New Roman"/>
          <w:sz w:val="20"/>
          <w:szCs w:val="20"/>
        </w:rPr>
        <w:t xml:space="preserve"> (Ginsburg, J., dissenting)</w:t>
      </w:r>
      <w:r w:rsidRPr="002B4A23">
        <w:rPr>
          <w:rFonts w:ascii="Times New Roman" w:hAnsi="Times New Roman" w:cs="Times New Roman"/>
          <w:sz w:val="20"/>
          <w:szCs w:val="20"/>
        </w:rPr>
        <w:t xml:space="preserve">. </w:t>
      </w:r>
    </w:p>
  </w:footnote>
  <w:footnote w:id="75">
    <w:p w14:paraId="298E1122" w14:textId="5C53C495" w:rsidR="00D4791C" w:rsidRDefault="00D4791C" w:rsidP="002B4A23">
      <w:pPr>
        <w:pStyle w:val="FootnoteText"/>
        <w:jc w:val="both"/>
      </w:pPr>
      <w:r w:rsidRPr="002B4A23">
        <w:rPr>
          <w:rStyle w:val="FootnoteReference"/>
          <w:rFonts w:ascii="Times New Roman" w:hAnsi="Times New Roman" w:cs="Times New Roman"/>
          <w:sz w:val="20"/>
          <w:szCs w:val="20"/>
        </w:rPr>
        <w:footnoteRef/>
      </w:r>
      <w:r w:rsidRPr="002B4A23">
        <w:rPr>
          <w:rFonts w:ascii="Times New Roman" w:hAnsi="Times New Roman" w:cs="Times New Roman"/>
          <w:sz w:val="20"/>
          <w:szCs w:val="20"/>
        </w:rPr>
        <w:t xml:space="preserve"> </w:t>
      </w:r>
      <w:r w:rsidRPr="00AD3B12">
        <w:rPr>
          <w:rFonts w:ascii="Times New Roman" w:hAnsi="Times New Roman" w:cs="Times New Roman"/>
          <w:sz w:val="20"/>
          <w:szCs w:val="20"/>
          <w:u w:val="single"/>
        </w:rPr>
        <w:t>Gratz</w:t>
      </w:r>
      <w:r w:rsidRPr="002B4A23">
        <w:rPr>
          <w:rFonts w:ascii="Times New Roman" w:hAnsi="Times New Roman" w:cs="Times New Roman"/>
          <w:sz w:val="20"/>
          <w:szCs w:val="20"/>
        </w:rPr>
        <w:t xml:space="preserve"> </w:t>
      </w:r>
      <w:r>
        <w:rPr>
          <w:rFonts w:ascii="Times New Roman" w:hAnsi="Times New Roman" w:cs="Times New Roman"/>
          <w:sz w:val="20"/>
          <w:szCs w:val="20"/>
        </w:rPr>
        <w:t xml:space="preserve">at </w:t>
      </w:r>
      <w:r w:rsidRPr="002B4A23">
        <w:rPr>
          <w:rFonts w:ascii="Times New Roman" w:hAnsi="Times New Roman" w:cs="Times New Roman"/>
          <w:sz w:val="20"/>
          <w:szCs w:val="20"/>
        </w:rPr>
        <w:t>305</w:t>
      </w:r>
      <w:r>
        <w:rPr>
          <w:rFonts w:ascii="Times New Roman" w:hAnsi="Times New Roman" w:cs="Times New Roman"/>
          <w:sz w:val="20"/>
          <w:szCs w:val="20"/>
        </w:rPr>
        <w:t xml:space="preserve"> (Ginsburg, J., dissenting)</w:t>
      </w:r>
      <w:r w:rsidRPr="002B4A23">
        <w:rPr>
          <w:rFonts w:ascii="Times New Roman" w:hAnsi="Times New Roman" w:cs="Times New Roman"/>
          <w:sz w:val="20"/>
          <w:szCs w:val="20"/>
        </w:rPr>
        <w:t>.</w:t>
      </w:r>
      <w:r>
        <w:t xml:space="preserve"> </w:t>
      </w:r>
    </w:p>
  </w:footnote>
  <w:footnote w:id="76">
    <w:p w14:paraId="1C7F06CD" w14:textId="1B179224" w:rsidR="00D4791C" w:rsidRPr="00F325DA" w:rsidRDefault="00D4791C" w:rsidP="004358AD">
      <w:pPr>
        <w:pStyle w:val="FootnoteText"/>
        <w:jc w:val="both"/>
        <w:rPr>
          <w:rFonts w:ascii="Times New Roman" w:hAnsi="Times New Roman" w:cs="Times New Roman"/>
          <w:sz w:val="20"/>
          <w:szCs w:val="20"/>
        </w:rPr>
      </w:pPr>
      <w:r w:rsidRPr="00F325DA">
        <w:rPr>
          <w:rStyle w:val="FootnoteReference"/>
          <w:rFonts w:ascii="Times New Roman" w:hAnsi="Times New Roman" w:cs="Times New Roman"/>
          <w:sz w:val="20"/>
          <w:szCs w:val="20"/>
        </w:rPr>
        <w:footnoteRef/>
      </w:r>
      <w:r w:rsidRPr="00F325DA">
        <w:rPr>
          <w:rFonts w:ascii="Times New Roman" w:hAnsi="Times New Roman" w:cs="Times New Roman"/>
          <w:sz w:val="20"/>
          <w:szCs w:val="20"/>
        </w:rPr>
        <w:t xml:space="preserve"> http://www.huffingtonpost.com/rebecca-shambaugh/should-us-follow-europes-_b_6885208.html</w:t>
      </w:r>
    </w:p>
  </w:footnote>
  <w:footnote w:id="77">
    <w:p w14:paraId="3D8AB30D" w14:textId="0637B33E" w:rsidR="00D4791C" w:rsidRDefault="00D4791C">
      <w:pPr>
        <w:pStyle w:val="FootnoteText"/>
      </w:pPr>
      <w:r w:rsidRPr="00F325DA">
        <w:rPr>
          <w:rStyle w:val="FootnoteReference"/>
          <w:rFonts w:ascii="Times New Roman" w:hAnsi="Times New Roman" w:cs="Times New Roman"/>
          <w:sz w:val="20"/>
          <w:szCs w:val="20"/>
        </w:rPr>
        <w:footnoteRef/>
      </w:r>
      <w:r w:rsidRPr="00F325DA">
        <w:rPr>
          <w:rFonts w:ascii="Times New Roman" w:hAnsi="Times New Roman" w:cs="Times New Roman"/>
          <w:sz w:val="20"/>
          <w:szCs w:val="20"/>
        </w:rPr>
        <w:t xml:space="preserve"> http://judis.nic.in/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8527" w14:textId="77777777" w:rsidR="00D4791C" w:rsidRPr="0019358F" w:rsidRDefault="00D4791C" w:rsidP="00B60399">
    <w:pPr>
      <w:rPr>
        <w:rStyle w:val="Strong"/>
        <w:rFonts w:ascii="Times New Roman" w:hAnsi="Times New Roman" w:cs="Times New Roman"/>
        <w:b w:val="0"/>
      </w:rPr>
    </w:pPr>
    <w:r w:rsidRPr="0019358F">
      <w:rPr>
        <w:rStyle w:val="Strong"/>
        <w:rFonts w:ascii="Times New Roman" w:hAnsi="Times New Roman" w:cs="Times New Roman"/>
        <w:b w:val="0"/>
      </w:rPr>
      <w:t xml:space="preserve">Jonathon Muñoz  </w:t>
    </w:r>
  </w:p>
  <w:p w14:paraId="3A631770" w14:textId="77777777" w:rsidR="00D4791C" w:rsidRPr="00B60399" w:rsidRDefault="00D4791C" w:rsidP="00B60399">
    <w:pP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BE7F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218EA"/>
    <w:multiLevelType w:val="hybridMultilevel"/>
    <w:tmpl w:val="DA6A9A28"/>
    <w:lvl w:ilvl="0" w:tplc="90AA5796">
      <w:start w:val="1"/>
      <w:numFmt w:val="decimal"/>
      <w:lvlText w:val="%1."/>
      <w:lvlJc w:val="left"/>
      <w:pPr>
        <w:tabs>
          <w:tab w:val="num" w:pos="720"/>
        </w:tabs>
        <w:ind w:left="720" w:hanging="360"/>
      </w:pPr>
    </w:lvl>
    <w:lvl w:ilvl="1" w:tplc="9302312A" w:tentative="1">
      <w:start w:val="1"/>
      <w:numFmt w:val="decimal"/>
      <w:lvlText w:val="%2."/>
      <w:lvlJc w:val="left"/>
      <w:pPr>
        <w:tabs>
          <w:tab w:val="num" w:pos="1440"/>
        </w:tabs>
        <w:ind w:left="1440" w:hanging="360"/>
      </w:pPr>
    </w:lvl>
    <w:lvl w:ilvl="2" w:tplc="9614F198" w:tentative="1">
      <w:start w:val="1"/>
      <w:numFmt w:val="decimal"/>
      <w:lvlText w:val="%3."/>
      <w:lvlJc w:val="left"/>
      <w:pPr>
        <w:tabs>
          <w:tab w:val="num" w:pos="2160"/>
        </w:tabs>
        <w:ind w:left="2160" w:hanging="360"/>
      </w:pPr>
    </w:lvl>
    <w:lvl w:ilvl="3" w:tplc="0338FB80" w:tentative="1">
      <w:start w:val="1"/>
      <w:numFmt w:val="decimal"/>
      <w:lvlText w:val="%4."/>
      <w:lvlJc w:val="left"/>
      <w:pPr>
        <w:tabs>
          <w:tab w:val="num" w:pos="2880"/>
        </w:tabs>
        <w:ind w:left="2880" w:hanging="360"/>
      </w:pPr>
    </w:lvl>
    <w:lvl w:ilvl="4" w:tplc="26DE8938" w:tentative="1">
      <w:start w:val="1"/>
      <w:numFmt w:val="decimal"/>
      <w:lvlText w:val="%5."/>
      <w:lvlJc w:val="left"/>
      <w:pPr>
        <w:tabs>
          <w:tab w:val="num" w:pos="3600"/>
        </w:tabs>
        <w:ind w:left="3600" w:hanging="360"/>
      </w:pPr>
    </w:lvl>
    <w:lvl w:ilvl="5" w:tplc="B198C52C" w:tentative="1">
      <w:start w:val="1"/>
      <w:numFmt w:val="decimal"/>
      <w:lvlText w:val="%6."/>
      <w:lvlJc w:val="left"/>
      <w:pPr>
        <w:tabs>
          <w:tab w:val="num" w:pos="4320"/>
        </w:tabs>
        <w:ind w:left="4320" w:hanging="360"/>
      </w:pPr>
    </w:lvl>
    <w:lvl w:ilvl="6" w:tplc="C936C1E2" w:tentative="1">
      <w:start w:val="1"/>
      <w:numFmt w:val="decimal"/>
      <w:lvlText w:val="%7."/>
      <w:lvlJc w:val="left"/>
      <w:pPr>
        <w:tabs>
          <w:tab w:val="num" w:pos="5040"/>
        </w:tabs>
        <w:ind w:left="5040" w:hanging="360"/>
      </w:pPr>
    </w:lvl>
    <w:lvl w:ilvl="7" w:tplc="9636375E" w:tentative="1">
      <w:start w:val="1"/>
      <w:numFmt w:val="decimal"/>
      <w:lvlText w:val="%8."/>
      <w:lvlJc w:val="left"/>
      <w:pPr>
        <w:tabs>
          <w:tab w:val="num" w:pos="5760"/>
        </w:tabs>
        <w:ind w:left="5760" w:hanging="360"/>
      </w:pPr>
    </w:lvl>
    <w:lvl w:ilvl="8" w:tplc="7ADCC9D8" w:tentative="1">
      <w:start w:val="1"/>
      <w:numFmt w:val="decimal"/>
      <w:lvlText w:val="%9."/>
      <w:lvlJc w:val="left"/>
      <w:pPr>
        <w:tabs>
          <w:tab w:val="num" w:pos="6480"/>
        </w:tabs>
        <w:ind w:left="6480" w:hanging="360"/>
      </w:pPr>
    </w:lvl>
  </w:abstractNum>
  <w:abstractNum w:abstractNumId="2" w15:restartNumberingAfterBreak="0">
    <w:nsid w:val="08FB3504"/>
    <w:multiLevelType w:val="hybridMultilevel"/>
    <w:tmpl w:val="021E99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220EE"/>
    <w:multiLevelType w:val="hybridMultilevel"/>
    <w:tmpl w:val="F42033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AE66AA"/>
    <w:multiLevelType w:val="hybridMultilevel"/>
    <w:tmpl w:val="2AD6C8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E6394"/>
    <w:multiLevelType w:val="hybridMultilevel"/>
    <w:tmpl w:val="9A3A0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205ECE"/>
    <w:multiLevelType w:val="hybridMultilevel"/>
    <w:tmpl w:val="7EC2412E"/>
    <w:lvl w:ilvl="0" w:tplc="0E24BC9E">
      <w:start w:val="1"/>
      <w:numFmt w:val="decimal"/>
      <w:lvlText w:val="%1."/>
      <w:lvlJc w:val="left"/>
      <w:pPr>
        <w:tabs>
          <w:tab w:val="num" w:pos="720"/>
        </w:tabs>
        <w:ind w:left="720" w:hanging="360"/>
      </w:pPr>
    </w:lvl>
    <w:lvl w:ilvl="1" w:tplc="A136003E" w:tentative="1">
      <w:start w:val="1"/>
      <w:numFmt w:val="decimal"/>
      <w:lvlText w:val="%2."/>
      <w:lvlJc w:val="left"/>
      <w:pPr>
        <w:tabs>
          <w:tab w:val="num" w:pos="1440"/>
        </w:tabs>
        <w:ind w:left="1440" w:hanging="360"/>
      </w:pPr>
    </w:lvl>
    <w:lvl w:ilvl="2" w:tplc="B42C77D8" w:tentative="1">
      <w:start w:val="1"/>
      <w:numFmt w:val="decimal"/>
      <w:lvlText w:val="%3."/>
      <w:lvlJc w:val="left"/>
      <w:pPr>
        <w:tabs>
          <w:tab w:val="num" w:pos="2160"/>
        </w:tabs>
        <w:ind w:left="2160" w:hanging="360"/>
      </w:pPr>
    </w:lvl>
    <w:lvl w:ilvl="3" w:tplc="0D0E4B36" w:tentative="1">
      <w:start w:val="1"/>
      <w:numFmt w:val="decimal"/>
      <w:lvlText w:val="%4."/>
      <w:lvlJc w:val="left"/>
      <w:pPr>
        <w:tabs>
          <w:tab w:val="num" w:pos="2880"/>
        </w:tabs>
        <w:ind w:left="2880" w:hanging="360"/>
      </w:pPr>
    </w:lvl>
    <w:lvl w:ilvl="4" w:tplc="E4B4558E" w:tentative="1">
      <w:start w:val="1"/>
      <w:numFmt w:val="decimal"/>
      <w:lvlText w:val="%5."/>
      <w:lvlJc w:val="left"/>
      <w:pPr>
        <w:tabs>
          <w:tab w:val="num" w:pos="3600"/>
        </w:tabs>
        <w:ind w:left="3600" w:hanging="360"/>
      </w:pPr>
    </w:lvl>
    <w:lvl w:ilvl="5" w:tplc="AA0E8914" w:tentative="1">
      <w:start w:val="1"/>
      <w:numFmt w:val="decimal"/>
      <w:lvlText w:val="%6."/>
      <w:lvlJc w:val="left"/>
      <w:pPr>
        <w:tabs>
          <w:tab w:val="num" w:pos="4320"/>
        </w:tabs>
        <w:ind w:left="4320" w:hanging="360"/>
      </w:pPr>
    </w:lvl>
    <w:lvl w:ilvl="6" w:tplc="596AB872" w:tentative="1">
      <w:start w:val="1"/>
      <w:numFmt w:val="decimal"/>
      <w:lvlText w:val="%7."/>
      <w:lvlJc w:val="left"/>
      <w:pPr>
        <w:tabs>
          <w:tab w:val="num" w:pos="5040"/>
        </w:tabs>
        <w:ind w:left="5040" w:hanging="360"/>
      </w:pPr>
    </w:lvl>
    <w:lvl w:ilvl="7" w:tplc="81225764" w:tentative="1">
      <w:start w:val="1"/>
      <w:numFmt w:val="decimal"/>
      <w:lvlText w:val="%8."/>
      <w:lvlJc w:val="left"/>
      <w:pPr>
        <w:tabs>
          <w:tab w:val="num" w:pos="5760"/>
        </w:tabs>
        <w:ind w:left="5760" w:hanging="360"/>
      </w:pPr>
    </w:lvl>
    <w:lvl w:ilvl="8" w:tplc="F5823F60" w:tentative="1">
      <w:start w:val="1"/>
      <w:numFmt w:val="decimal"/>
      <w:lvlText w:val="%9."/>
      <w:lvlJc w:val="left"/>
      <w:pPr>
        <w:tabs>
          <w:tab w:val="num" w:pos="6480"/>
        </w:tabs>
        <w:ind w:left="6480" w:hanging="360"/>
      </w:pPr>
    </w:lvl>
  </w:abstractNum>
  <w:abstractNum w:abstractNumId="7" w15:restartNumberingAfterBreak="0">
    <w:nsid w:val="66883426"/>
    <w:multiLevelType w:val="hybridMultilevel"/>
    <w:tmpl w:val="A3300F12"/>
    <w:lvl w:ilvl="0" w:tplc="831EA166">
      <w:start w:val="1"/>
      <w:numFmt w:val="decimal"/>
      <w:lvlText w:val="%1."/>
      <w:lvlJc w:val="left"/>
      <w:pPr>
        <w:tabs>
          <w:tab w:val="num" w:pos="720"/>
        </w:tabs>
        <w:ind w:left="720" w:hanging="360"/>
      </w:pPr>
    </w:lvl>
    <w:lvl w:ilvl="1" w:tplc="47E8E64A" w:tentative="1">
      <w:start w:val="1"/>
      <w:numFmt w:val="decimal"/>
      <w:lvlText w:val="%2."/>
      <w:lvlJc w:val="left"/>
      <w:pPr>
        <w:tabs>
          <w:tab w:val="num" w:pos="1440"/>
        </w:tabs>
        <w:ind w:left="1440" w:hanging="360"/>
      </w:pPr>
    </w:lvl>
    <w:lvl w:ilvl="2" w:tplc="310E61F2" w:tentative="1">
      <w:start w:val="1"/>
      <w:numFmt w:val="decimal"/>
      <w:lvlText w:val="%3."/>
      <w:lvlJc w:val="left"/>
      <w:pPr>
        <w:tabs>
          <w:tab w:val="num" w:pos="2160"/>
        </w:tabs>
        <w:ind w:left="2160" w:hanging="360"/>
      </w:pPr>
    </w:lvl>
    <w:lvl w:ilvl="3" w:tplc="0400BAE2" w:tentative="1">
      <w:start w:val="1"/>
      <w:numFmt w:val="decimal"/>
      <w:lvlText w:val="%4."/>
      <w:lvlJc w:val="left"/>
      <w:pPr>
        <w:tabs>
          <w:tab w:val="num" w:pos="2880"/>
        </w:tabs>
        <w:ind w:left="2880" w:hanging="360"/>
      </w:pPr>
    </w:lvl>
    <w:lvl w:ilvl="4" w:tplc="24F8B358" w:tentative="1">
      <w:start w:val="1"/>
      <w:numFmt w:val="decimal"/>
      <w:lvlText w:val="%5."/>
      <w:lvlJc w:val="left"/>
      <w:pPr>
        <w:tabs>
          <w:tab w:val="num" w:pos="3600"/>
        </w:tabs>
        <w:ind w:left="3600" w:hanging="360"/>
      </w:pPr>
    </w:lvl>
    <w:lvl w:ilvl="5" w:tplc="D902E4F2" w:tentative="1">
      <w:start w:val="1"/>
      <w:numFmt w:val="decimal"/>
      <w:lvlText w:val="%6."/>
      <w:lvlJc w:val="left"/>
      <w:pPr>
        <w:tabs>
          <w:tab w:val="num" w:pos="4320"/>
        </w:tabs>
        <w:ind w:left="4320" w:hanging="360"/>
      </w:pPr>
    </w:lvl>
    <w:lvl w:ilvl="6" w:tplc="A1687F48" w:tentative="1">
      <w:start w:val="1"/>
      <w:numFmt w:val="decimal"/>
      <w:lvlText w:val="%7."/>
      <w:lvlJc w:val="left"/>
      <w:pPr>
        <w:tabs>
          <w:tab w:val="num" w:pos="5040"/>
        </w:tabs>
        <w:ind w:left="5040" w:hanging="360"/>
      </w:pPr>
    </w:lvl>
    <w:lvl w:ilvl="7" w:tplc="52781DDE" w:tentative="1">
      <w:start w:val="1"/>
      <w:numFmt w:val="decimal"/>
      <w:lvlText w:val="%8."/>
      <w:lvlJc w:val="left"/>
      <w:pPr>
        <w:tabs>
          <w:tab w:val="num" w:pos="5760"/>
        </w:tabs>
        <w:ind w:left="5760" w:hanging="360"/>
      </w:pPr>
    </w:lvl>
    <w:lvl w:ilvl="8" w:tplc="19309976" w:tentative="1">
      <w:start w:val="1"/>
      <w:numFmt w:val="decimal"/>
      <w:lvlText w:val="%9."/>
      <w:lvlJc w:val="left"/>
      <w:pPr>
        <w:tabs>
          <w:tab w:val="num" w:pos="6480"/>
        </w:tabs>
        <w:ind w:left="6480" w:hanging="360"/>
      </w:pPr>
    </w:lvl>
  </w:abstractNum>
  <w:abstractNum w:abstractNumId="8" w15:restartNumberingAfterBreak="0">
    <w:nsid w:val="7D673446"/>
    <w:multiLevelType w:val="hybridMultilevel"/>
    <w:tmpl w:val="3D6E0E8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313949">
    <w:abstractNumId w:val="4"/>
  </w:num>
  <w:num w:numId="2" w16cid:durableId="1811315612">
    <w:abstractNumId w:val="0"/>
  </w:num>
  <w:num w:numId="3" w16cid:durableId="1316035419">
    <w:abstractNumId w:val="8"/>
  </w:num>
  <w:num w:numId="4" w16cid:durableId="296447738">
    <w:abstractNumId w:val="3"/>
  </w:num>
  <w:num w:numId="5" w16cid:durableId="1994404241">
    <w:abstractNumId w:val="2"/>
  </w:num>
  <w:num w:numId="6" w16cid:durableId="653798266">
    <w:abstractNumId w:val="6"/>
  </w:num>
  <w:num w:numId="7" w16cid:durableId="566693070">
    <w:abstractNumId w:val="7"/>
  </w:num>
  <w:num w:numId="8" w16cid:durableId="1287857906">
    <w:abstractNumId w:val="1"/>
  </w:num>
  <w:num w:numId="9" w16cid:durableId="2127189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5E7"/>
    <w:rsid w:val="00016B1E"/>
    <w:rsid w:val="000209CD"/>
    <w:rsid w:val="00022D18"/>
    <w:rsid w:val="000257F0"/>
    <w:rsid w:val="00026FAA"/>
    <w:rsid w:val="000356E1"/>
    <w:rsid w:val="000671F0"/>
    <w:rsid w:val="000674F9"/>
    <w:rsid w:val="000702BD"/>
    <w:rsid w:val="000725C9"/>
    <w:rsid w:val="00082ED1"/>
    <w:rsid w:val="00094F2A"/>
    <w:rsid w:val="000D2257"/>
    <w:rsid w:val="000E37CB"/>
    <w:rsid w:val="001021E2"/>
    <w:rsid w:val="00105F4C"/>
    <w:rsid w:val="001073E1"/>
    <w:rsid w:val="001141FC"/>
    <w:rsid w:val="00136848"/>
    <w:rsid w:val="00146F66"/>
    <w:rsid w:val="00152AC4"/>
    <w:rsid w:val="00154724"/>
    <w:rsid w:val="0016670A"/>
    <w:rsid w:val="00176C39"/>
    <w:rsid w:val="00177170"/>
    <w:rsid w:val="00185D75"/>
    <w:rsid w:val="00187C33"/>
    <w:rsid w:val="0019358F"/>
    <w:rsid w:val="001A70DB"/>
    <w:rsid w:val="001B64A2"/>
    <w:rsid w:val="001D4BA9"/>
    <w:rsid w:val="001E3790"/>
    <w:rsid w:val="001E65AC"/>
    <w:rsid w:val="00203B8B"/>
    <w:rsid w:val="00211E38"/>
    <w:rsid w:val="00223295"/>
    <w:rsid w:val="002323E4"/>
    <w:rsid w:val="0025046C"/>
    <w:rsid w:val="0026045A"/>
    <w:rsid w:val="00261A32"/>
    <w:rsid w:val="002A3E2D"/>
    <w:rsid w:val="002B19FD"/>
    <w:rsid w:val="002B4A23"/>
    <w:rsid w:val="002C2D79"/>
    <w:rsid w:val="002C33D8"/>
    <w:rsid w:val="002E1A17"/>
    <w:rsid w:val="002E6727"/>
    <w:rsid w:val="002F4ED9"/>
    <w:rsid w:val="00314EF1"/>
    <w:rsid w:val="003408A8"/>
    <w:rsid w:val="00355E26"/>
    <w:rsid w:val="003616D6"/>
    <w:rsid w:val="003A360F"/>
    <w:rsid w:val="003A528A"/>
    <w:rsid w:val="003C5087"/>
    <w:rsid w:val="003C6C12"/>
    <w:rsid w:val="003C7B6F"/>
    <w:rsid w:val="003D03F8"/>
    <w:rsid w:val="003F1D27"/>
    <w:rsid w:val="003F7BDB"/>
    <w:rsid w:val="0040435F"/>
    <w:rsid w:val="00435641"/>
    <w:rsid w:val="004358AD"/>
    <w:rsid w:val="004552F1"/>
    <w:rsid w:val="00460DC9"/>
    <w:rsid w:val="00462325"/>
    <w:rsid w:val="00477802"/>
    <w:rsid w:val="00487FCD"/>
    <w:rsid w:val="0049396E"/>
    <w:rsid w:val="004B6FF2"/>
    <w:rsid w:val="004C628C"/>
    <w:rsid w:val="004D471C"/>
    <w:rsid w:val="004D5D32"/>
    <w:rsid w:val="004E70BC"/>
    <w:rsid w:val="004F45A8"/>
    <w:rsid w:val="004F6E0F"/>
    <w:rsid w:val="00505E62"/>
    <w:rsid w:val="00507250"/>
    <w:rsid w:val="00511690"/>
    <w:rsid w:val="00522227"/>
    <w:rsid w:val="00525234"/>
    <w:rsid w:val="005330E3"/>
    <w:rsid w:val="005351A9"/>
    <w:rsid w:val="00542935"/>
    <w:rsid w:val="00547995"/>
    <w:rsid w:val="00551C6A"/>
    <w:rsid w:val="00556368"/>
    <w:rsid w:val="005577BD"/>
    <w:rsid w:val="00560315"/>
    <w:rsid w:val="0056579B"/>
    <w:rsid w:val="005659DA"/>
    <w:rsid w:val="00567AA8"/>
    <w:rsid w:val="005777FC"/>
    <w:rsid w:val="00582124"/>
    <w:rsid w:val="00582848"/>
    <w:rsid w:val="00592BBD"/>
    <w:rsid w:val="005945BF"/>
    <w:rsid w:val="00595160"/>
    <w:rsid w:val="00597B03"/>
    <w:rsid w:val="00597BC1"/>
    <w:rsid w:val="005A2BF6"/>
    <w:rsid w:val="005B500E"/>
    <w:rsid w:val="005D298F"/>
    <w:rsid w:val="005E0DC6"/>
    <w:rsid w:val="005F6561"/>
    <w:rsid w:val="0060651E"/>
    <w:rsid w:val="006302E6"/>
    <w:rsid w:val="006341AE"/>
    <w:rsid w:val="00637DDA"/>
    <w:rsid w:val="0064678C"/>
    <w:rsid w:val="0064710E"/>
    <w:rsid w:val="00650AD2"/>
    <w:rsid w:val="00653799"/>
    <w:rsid w:val="00665B46"/>
    <w:rsid w:val="00667A14"/>
    <w:rsid w:val="00667F80"/>
    <w:rsid w:val="006B1DF4"/>
    <w:rsid w:val="006C0FA7"/>
    <w:rsid w:val="006C6908"/>
    <w:rsid w:val="006E28DD"/>
    <w:rsid w:val="006E7CD1"/>
    <w:rsid w:val="00700103"/>
    <w:rsid w:val="007145D4"/>
    <w:rsid w:val="00717068"/>
    <w:rsid w:val="007173F4"/>
    <w:rsid w:val="0072121F"/>
    <w:rsid w:val="00736F04"/>
    <w:rsid w:val="00742980"/>
    <w:rsid w:val="0074504C"/>
    <w:rsid w:val="0074714D"/>
    <w:rsid w:val="00751A00"/>
    <w:rsid w:val="00762252"/>
    <w:rsid w:val="00786B6E"/>
    <w:rsid w:val="007933CE"/>
    <w:rsid w:val="0079407C"/>
    <w:rsid w:val="007A27A0"/>
    <w:rsid w:val="007A338A"/>
    <w:rsid w:val="007B2AE4"/>
    <w:rsid w:val="007D42D9"/>
    <w:rsid w:val="007E211D"/>
    <w:rsid w:val="007F10EF"/>
    <w:rsid w:val="007F1EBC"/>
    <w:rsid w:val="00813AA7"/>
    <w:rsid w:val="00826A24"/>
    <w:rsid w:val="00830AEE"/>
    <w:rsid w:val="00841BD4"/>
    <w:rsid w:val="00843CA0"/>
    <w:rsid w:val="00860B14"/>
    <w:rsid w:val="008768F2"/>
    <w:rsid w:val="008908A0"/>
    <w:rsid w:val="008916C9"/>
    <w:rsid w:val="008916DB"/>
    <w:rsid w:val="00895D63"/>
    <w:rsid w:val="008A120A"/>
    <w:rsid w:val="008A58B8"/>
    <w:rsid w:val="008A6C31"/>
    <w:rsid w:val="008B47AA"/>
    <w:rsid w:val="008B7133"/>
    <w:rsid w:val="008C05DF"/>
    <w:rsid w:val="008C5E83"/>
    <w:rsid w:val="008E1034"/>
    <w:rsid w:val="008E590B"/>
    <w:rsid w:val="008F7A17"/>
    <w:rsid w:val="00906552"/>
    <w:rsid w:val="009102A1"/>
    <w:rsid w:val="00916415"/>
    <w:rsid w:val="009172BA"/>
    <w:rsid w:val="009220D5"/>
    <w:rsid w:val="00924BD5"/>
    <w:rsid w:val="009276EB"/>
    <w:rsid w:val="0093476C"/>
    <w:rsid w:val="009461B7"/>
    <w:rsid w:val="00955669"/>
    <w:rsid w:val="009566D8"/>
    <w:rsid w:val="00962F24"/>
    <w:rsid w:val="00965BDB"/>
    <w:rsid w:val="00976D11"/>
    <w:rsid w:val="009874E6"/>
    <w:rsid w:val="009918E9"/>
    <w:rsid w:val="009A59BA"/>
    <w:rsid w:val="009C23CA"/>
    <w:rsid w:val="009C2CD3"/>
    <w:rsid w:val="009C782C"/>
    <w:rsid w:val="009D11FE"/>
    <w:rsid w:val="009F032D"/>
    <w:rsid w:val="009F16D4"/>
    <w:rsid w:val="00A1068B"/>
    <w:rsid w:val="00A33FA1"/>
    <w:rsid w:val="00A40F08"/>
    <w:rsid w:val="00A7242C"/>
    <w:rsid w:val="00A8640B"/>
    <w:rsid w:val="00A87B30"/>
    <w:rsid w:val="00AC6F9F"/>
    <w:rsid w:val="00AD3718"/>
    <w:rsid w:val="00AD3B12"/>
    <w:rsid w:val="00AD7C8D"/>
    <w:rsid w:val="00AE046C"/>
    <w:rsid w:val="00AE7CF0"/>
    <w:rsid w:val="00B04922"/>
    <w:rsid w:val="00B065B5"/>
    <w:rsid w:val="00B31C76"/>
    <w:rsid w:val="00B330C7"/>
    <w:rsid w:val="00B412A2"/>
    <w:rsid w:val="00B45DE0"/>
    <w:rsid w:val="00B511C7"/>
    <w:rsid w:val="00B54D75"/>
    <w:rsid w:val="00B60399"/>
    <w:rsid w:val="00B740CF"/>
    <w:rsid w:val="00B8043A"/>
    <w:rsid w:val="00B816AE"/>
    <w:rsid w:val="00B85CFB"/>
    <w:rsid w:val="00BA1F28"/>
    <w:rsid w:val="00BD0E3B"/>
    <w:rsid w:val="00BD25AA"/>
    <w:rsid w:val="00BE7BF6"/>
    <w:rsid w:val="00BF4042"/>
    <w:rsid w:val="00C00455"/>
    <w:rsid w:val="00C027A9"/>
    <w:rsid w:val="00C03079"/>
    <w:rsid w:val="00C063C3"/>
    <w:rsid w:val="00C06A07"/>
    <w:rsid w:val="00C12C55"/>
    <w:rsid w:val="00C21FB8"/>
    <w:rsid w:val="00C222BE"/>
    <w:rsid w:val="00C47303"/>
    <w:rsid w:val="00C53697"/>
    <w:rsid w:val="00C954EF"/>
    <w:rsid w:val="00C96C3C"/>
    <w:rsid w:val="00CC5A2A"/>
    <w:rsid w:val="00D07167"/>
    <w:rsid w:val="00D20C1A"/>
    <w:rsid w:val="00D23678"/>
    <w:rsid w:val="00D263B5"/>
    <w:rsid w:val="00D32114"/>
    <w:rsid w:val="00D34E38"/>
    <w:rsid w:val="00D42D16"/>
    <w:rsid w:val="00D4791C"/>
    <w:rsid w:val="00D642A1"/>
    <w:rsid w:val="00D80457"/>
    <w:rsid w:val="00DC0483"/>
    <w:rsid w:val="00DD6272"/>
    <w:rsid w:val="00DE0358"/>
    <w:rsid w:val="00DF4DC5"/>
    <w:rsid w:val="00E01E85"/>
    <w:rsid w:val="00E05FAB"/>
    <w:rsid w:val="00E0772D"/>
    <w:rsid w:val="00E11455"/>
    <w:rsid w:val="00E2404E"/>
    <w:rsid w:val="00E31BF4"/>
    <w:rsid w:val="00E35FD1"/>
    <w:rsid w:val="00E379A1"/>
    <w:rsid w:val="00E40C90"/>
    <w:rsid w:val="00E5590F"/>
    <w:rsid w:val="00E60390"/>
    <w:rsid w:val="00E84F2B"/>
    <w:rsid w:val="00E86B0A"/>
    <w:rsid w:val="00E86CE5"/>
    <w:rsid w:val="00E91DDF"/>
    <w:rsid w:val="00EA43B0"/>
    <w:rsid w:val="00EA75E7"/>
    <w:rsid w:val="00EB27B9"/>
    <w:rsid w:val="00EB31C0"/>
    <w:rsid w:val="00EB7E80"/>
    <w:rsid w:val="00EE3B06"/>
    <w:rsid w:val="00EE48A4"/>
    <w:rsid w:val="00EF4A26"/>
    <w:rsid w:val="00EF7BEB"/>
    <w:rsid w:val="00F02847"/>
    <w:rsid w:val="00F02FCC"/>
    <w:rsid w:val="00F03DEF"/>
    <w:rsid w:val="00F0522F"/>
    <w:rsid w:val="00F0762E"/>
    <w:rsid w:val="00F325DA"/>
    <w:rsid w:val="00F370A9"/>
    <w:rsid w:val="00F436F3"/>
    <w:rsid w:val="00F5120B"/>
    <w:rsid w:val="00F6106E"/>
    <w:rsid w:val="00F65697"/>
    <w:rsid w:val="00F94B4E"/>
    <w:rsid w:val="00F9653C"/>
    <w:rsid w:val="00FA7C2D"/>
    <w:rsid w:val="00FB064E"/>
    <w:rsid w:val="00FB1136"/>
    <w:rsid w:val="00FB62C4"/>
    <w:rsid w:val="00FE79F7"/>
    <w:rsid w:val="00FF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40D11"/>
  <w14:defaultImageDpi w14:val="300"/>
  <w15:docId w15:val="{49031FBE-5D0A-E640-A2D1-E6ACECBE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F4ED9"/>
  </w:style>
  <w:style w:type="character" w:customStyle="1" w:styleId="FootnoteTextChar">
    <w:name w:val="Footnote Text Char"/>
    <w:basedOn w:val="DefaultParagraphFont"/>
    <w:link w:val="FootnoteText"/>
    <w:uiPriority w:val="99"/>
    <w:rsid w:val="002F4ED9"/>
  </w:style>
  <w:style w:type="character" w:styleId="FootnoteReference">
    <w:name w:val="footnote reference"/>
    <w:basedOn w:val="DefaultParagraphFont"/>
    <w:uiPriority w:val="99"/>
    <w:unhideWhenUsed/>
    <w:rsid w:val="002F4ED9"/>
    <w:rPr>
      <w:vertAlign w:val="superscript"/>
    </w:rPr>
  </w:style>
  <w:style w:type="paragraph" w:styleId="ListParagraph">
    <w:name w:val="List Paragraph"/>
    <w:basedOn w:val="Normal"/>
    <w:uiPriority w:val="34"/>
    <w:qFormat/>
    <w:rsid w:val="00582848"/>
    <w:pPr>
      <w:ind w:left="720"/>
      <w:contextualSpacing/>
    </w:pPr>
  </w:style>
  <w:style w:type="character" w:customStyle="1" w:styleId="apple-converted-space">
    <w:name w:val="apple-converted-space"/>
    <w:basedOn w:val="DefaultParagraphFont"/>
    <w:rsid w:val="007933CE"/>
  </w:style>
  <w:style w:type="character" w:styleId="Emphasis">
    <w:name w:val="Emphasis"/>
    <w:basedOn w:val="DefaultParagraphFont"/>
    <w:uiPriority w:val="20"/>
    <w:qFormat/>
    <w:rsid w:val="007933CE"/>
    <w:rPr>
      <w:i/>
      <w:iCs/>
    </w:rPr>
  </w:style>
  <w:style w:type="paragraph" w:styleId="NoSpacing">
    <w:name w:val="No Spacing"/>
    <w:uiPriority w:val="1"/>
    <w:qFormat/>
    <w:rsid w:val="007933CE"/>
  </w:style>
  <w:style w:type="character" w:styleId="Hyperlink">
    <w:name w:val="Hyperlink"/>
    <w:basedOn w:val="DefaultParagraphFont"/>
    <w:uiPriority w:val="99"/>
    <w:unhideWhenUsed/>
    <w:rsid w:val="007933CE"/>
    <w:rPr>
      <w:color w:val="0000FF" w:themeColor="hyperlink"/>
      <w:u w:val="single"/>
    </w:rPr>
  </w:style>
  <w:style w:type="character" w:customStyle="1" w:styleId="ng-binding">
    <w:name w:val="ng-binding"/>
    <w:basedOn w:val="DefaultParagraphFont"/>
    <w:rsid w:val="004552F1"/>
  </w:style>
  <w:style w:type="character" w:styleId="Strong">
    <w:name w:val="Strong"/>
    <w:basedOn w:val="DefaultParagraphFont"/>
    <w:uiPriority w:val="22"/>
    <w:qFormat/>
    <w:rsid w:val="00597BC1"/>
    <w:rPr>
      <w:b/>
      <w:bCs/>
    </w:rPr>
  </w:style>
  <w:style w:type="paragraph" w:styleId="Header">
    <w:name w:val="header"/>
    <w:basedOn w:val="Normal"/>
    <w:link w:val="HeaderChar"/>
    <w:uiPriority w:val="99"/>
    <w:unhideWhenUsed/>
    <w:rsid w:val="0019358F"/>
    <w:pPr>
      <w:tabs>
        <w:tab w:val="center" w:pos="4320"/>
        <w:tab w:val="right" w:pos="8640"/>
      </w:tabs>
    </w:pPr>
  </w:style>
  <w:style w:type="character" w:customStyle="1" w:styleId="HeaderChar">
    <w:name w:val="Header Char"/>
    <w:basedOn w:val="DefaultParagraphFont"/>
    <w:link w:val="Header"/>
    <w:uiPriority w:val="99"/>
    <w:rsid w:val="0019358F"/>
  </w:style>
  <w:style w:type="paragraph" w:styleId="Footer">
    <w:name w:val="footer"/>
    <w:basedOn w:val="Normal"/>
    <w:link w:val="FooterChar"/>
    <w:uiPriority w:val="99"/>
    <w:unhideWhenUsed/>
    <w:rsid w:val="0019358F"/>
    <w:pPr>
      <w:tabs>
        <w:tab w:val="center" w:pos="4320"/>
        <w:tab w:val="right" w:pos="8640"/>
      </w:tabs>
    </w:pPr>
  </w:style>
  <w:style w:type="character" w:customStyle="1" w:styleId="FooterChar">
    <w:name w:val="Footer Char"/>
    <w:basedOn w:val="DefaultParagraphFont"/>
    <w:link w:val="Footer"/>
    <w:uiPriority w:val="99"/>
    <w:rsid w:val="0019358F"/>
  </w:style>
  <w:style w:type="character" w:styleId="PageNumber">
    <w:name w:val="page number"/>
    <w:basedOn w:val="DefaultParagraphFont"/>
    <w:uiPriority w:val="99"/>
    <w:semiHidden/>
    <w:unhideWhenUsed/>
    <w:rsid w:val="009C2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3831">
      <w:bodyDiv w:val="1"/>
      <w:marLeft w:val="0"/>
      <w:marRight w:val="0"/>
      <w:marTop w:val="0"/>
      <w:marBottom w:val="0"/>
      <w:divBdr>
        <w:top w:val="none" w:sz="0" w:space="0" w:color="auto"/>
        <w:left w:val="none" w:sz="0" w:space="0" w:color="auto"/>
        <w:bottom w:val="none" w:sz="0" w:space="0" w:color="auto"/>
        <w:right w:val="none" w:sz="0" w:space="0" w:color="auto"/>
      </w:divBdr>
    </w:div>
    <w:div w:id="53941635">
      <w:bodyDiv w:val="1"/>
      <w:marLeft w:val="0"/>
      <w:marRight w:val="0"/>
      <w:marTop w:val="0"/>
      <w:marBottom w:val="0"/>
      <w:divBdr>
        <w:top w:val="none" w:sz="0" w:space="0" w:color="auto"/>
        <w:left w:val="none" w:sz="0" w:space="0" w:color="auto"/>
        <w:bottom w:val="none" w:sz="0" w:space="0" w:color="auto"/>
        <w:right w:val="none" w:sz="0" w:space="0" w:color="auto"/>
      </w:divBdr>
    </w:div>
    <w:div w:id="64838217">
      <w:bodyDiv w:val="1"/>
      <w:marLeft w:val="0"/>
      <w:marRight w:val="0"/>
      <w:marTop w:val="0"/>
      <w:marBottom w:val="0"/>
      <w:divBdr>
        <w:top w:val="none" w:sz="0" w:space="0" w:color="auto"/>
        <w:left w:val="none" w:sz="0" w:space="0" w:color="auto"/>
        <w:bottom w:val="none" w:sz="0" w:space="0" w:color="auto"/>
        <w:right w:val="none" w:sz="0" w:space="0" w:color="auto"/>
      </w:divBdr>
    </w:div>
    <w:div w:id="126245757">
      <w:bodyDiv w:val="1"/>
      <w:marLeft w:val="0"/>
      <w:marRight w:val="0"/>
      <w:marTop w:val="0"/>
      <w:marBottom w:val="0"/>
      <w:divBdr>
        <w:top w:val="none" w:sz="0" w:space="0" w:color="auto"/>
        <w:left w:val="none" w:sz="0" w:space="0" w:color="auto"/>
        <w:bottom w:val="none" w:sz="0" w:space="0" w:color="auto"/>
        <w:right w:val="none" w:sz="0" w:space="0" w:color="auto"/>
      </w:divBdr>
    </w:div>
    <w:div w:id="213855797">
      <w:bodyDiv w:val="1"/>
      <w:marLeft w:val="0"/>
      <w:marRight w:val="0"/>
      <w:marTop w:val="0"/>
      <w:marBottom w:val="0"/>
      <w:divBdr>
        <w:top w:val="none" w:sz="0" w:space="0" w:color="auto"/>
        <w:left w:val="none" w:sz="0" w:space="0" w:color="auto"/>
        <w:bottom w:val="none" w:sz="0" w:space="0" w:color="auto"/>
        <w:right w:val="none" w:sz="0" w:space="0" w:color="auto"/>
      </w:divBdr>
    </w:div>
    <w:div w:id="341595266">
      <w:bodyDiv w:val="1"/>
      <w:marLeft w:val="0"/>
      <w:marRight w:val="0"/>
      <w:marTop w:val="0"/>
      <w:marBottom w:val="0"/>
      <w:divBdr>
        <w:top w:val="none" w:sz="0" w:space="0" w:color="auto"/>
        <w:left w:val="none" w:sz="0" w:space="0" w:color="auto"/>
        <w:bottom w:val="none" w:sz="0" w:space="0" w:color="auto"/>
        <w:right w:val="none" w:sz="0" w:space="0" w:color="auto"/>
      </w:divBdr>
    </w:div>
    <w:div w:id="394819602">
      <w:bodyDiv w:val="1"/>
      <w:marLeft w:val="0"/>
      <w:marRight w:val="0"/>
      <w:marTop w:val="0"/>
      <w:marBottom w:val="0"/>
      <w:divBdr>
        <w:top w:val="none" w:sz="0" w:space="0" w:color="auto"/>
        <w:left w:val="none" w:sz="0" w:space="0" w:color="auto"/>
        <w:bottom w:val="none" w:sz="0" w:space="0" w:color="auto"/>
        <w:right w:val="none" w:sz="0" w:space="0" w:color="auto"/>
      </w:divBdr>
    </w:div>
    <w:div w:id="440102003">
      <w:bodyDiv w:val="1"/>
      <w:marLeft w:val="0"/>
      <w:marRight w:val="0"/>
      <w:marTop w:val="0"/>
      <w:marBottom w:val="0"/>
      <w:divBdr>
        <w:top w:val="none" w:sz="0" w:space="0" w:color="auto"/>
        <w:left w:val="none" w:sz="0" w:space="0" w:color="auto"/>
        <w:bottom w:val="none" w:sz="0" w:space="0" w:color="auto"/>
        <w:right w:val="none" w:sz="0" w:space="0" w:color="auto"/>
      </w:divBdr>
    </w:div>
    <w:div w:id="496264354">
      <w:bodyDiv w:val="1"/>
      <w:marLeft w:val="0"/>
      <w:marRight w:val="0"/>
      <w:marTop w:val="0"/>
      <w:marBottom w:val="0"/>
      <w:divBdr>
        <w:top w:val="none" w:sz="0" w:space="0" w:color="auto"/>
        <w:left w:val="none" w:sz="0" w:space="0" w:color="auto"/>
        <w:bottom w:val="none" w:sz="0" w:space="0" w:color="auto"/>
        <w:right w:val="none" w:sz="0" w:space="0" w:color="auto"/>
      </w:divBdr>
    </w:div>
    <w:div w:id="539317377">
      <w:bodyDiv w:val="1"/>
      <w:marLeft w:val="0"/>
      <w:marRight w:val="0"/>
      <w:marTop w:val="0"/>
      <w:marBottom w:val="0"/>
      <w:divBdr>
        <w:top w:val="none" w:sz="0" w:space="0" w:color="auto"/>
        <w:left w:val="none" w:sz="0" w:space="0" w:color="auto"/>
        <w:bottom w:val="none" w:sz="0" w:space="0" w:color="auto"/>
        <w:right w:val="none" w:sz="0" w:space="0" w:color="auto"/>
      </w:divBdr>
      <w:divsChild>
        <w:div w:id="558785387">
          <w:marLeft w:val="821"/>
          <w:marRight w:val="0"/>
          <w:marTop w:val="140"/>
          <w:marBottom w:val="0"/>
          <w:divBdr>
            <w:top w:val="none" w:sz="0" w:space="0" w:color="auto"/>
            <w:left w:val="none" w:sz="0" w:space="0" w:color="auto"/>
            <w:bottom w:val="none" w:sz="0" w:space="0" w:color="auto"/>
            <w:right w:val="none" w:sz="0" w:space="0" w:color="auto"/>
          </w:divBdr>
        </w:div>
      </w:divsChild>
    </w:div>
    <w:div w:id="582420572">
      <w:bodyDiv w:val="1"/>
      <w:marLeft w:val="0"/>
      <w:marRight w:val="0"/>
      <w:marTop w:val="0"/>
      <w:marBottom w:val="0"/>
      <w:divBdr>
        <w:top w:val="none" w:sz="0" w:space="0" w:color="auto"/>
        <w:left w:val="none" w:sz="0" w:space="0" w:color="auto"/>
        <w:bottom w:val="none" w:sz="0" w:space="0" w:color="auto"/>
        <w:right w:val="none" w:sz="0" w:space="0" w:color="auto"/>
      </w:divBdr>
    </w:div>
    <w:div w:id="623731237">
      <w:bodyDiv w:val="1"/>
      <w:marLeft w:val="0"/>
      <w:marRight w:val="0"/>
      <w:marTop w:val="0"/>
      <w:marBottom w:val="0"/>
      <w:divBdr>
        <w:top w:val="none" w:sz="0" w:space="0" w:color="auto"/>
        <w:left w:val="none" w:sz="0" w:space="0" w:color="auto"/>
        <w:bottom w:val="none" w:sz="0" w:space="0" w:color="auto"/>
        <w:right w:val="none" w:sz="0" w:space="0" w:color="auto"/>
      </w:divBdr>
      <w:divsChild>
        <w:div w:id="1499954922">
          <w:marLeft w:val="0"/>
          <w:marRight w:val="0"/>
          <w:marTop w:val="0"/>
          <w:marBottom w:val="0"/>
          <w:divBdr>
            <w:top w:val="none" w:sz="0" w:space="0" w:color="auto"/>
            <w:left w:val="none" w:sz="0" w:space="0" w:color="auto"/>
            <w:bottom w:val="single" w:sz="6" w:space="0" w:color="FFFFFF"/>
            <w:right w:val="none" w:sz="0" w:space="0" w:color="auto"/>
          </w:divBdr>
        </w:div>
        <w:div w:id="1933467222">
          <w:marLeft w:val="0"/>
          <w:marRight w:val="0"/>
          <w:marTop w:val="0"/>
          <w:marBottom w:val="0"/>
          <w:divBdr>
            <w:top w:val="none" w:sz="0" w:space="0" w:color="auto"/>
            <w:left w:val="none" w:sz="0" w:space="0" w:color="auto"/>
            <w:bottom w:val="single" w:sz="6" w:space="0" w:color="FFFFFF"/>
            <w:right w:val="none" w:sz="0" w:space="0" w:color="auto"/>
          </w:divBdr>
        </w:div>
      </w:divsChild>
    </w:div>
    <w:div w:id="672101505">
      <w:bodyDiv w:val="1"/>
      <w:marLeft w:val="0"/>
      <w:marRight w:val="0"/>
      <w:marTop w:val="0"/>
      <w:marBottom w:val="0"/>
      <w:divBdr>
        <w:top w:val="none" w:sz="0" w:space="0" w:color="auto"/>
        <w:left w:val="none" w:sz="0" w:space="0" w:color="auto"/>
        <w:bottom w:val="none" w:sz="0" w:space="0" w:color="auto"/>
        <w:right w:val="none" w:sz="0" w:space="0" w:color="auto"/>
      </w:divBdr>
    </w:div>
    <w:div w:id="788740397">
      <w:bodyDiv w:val="1"/>
      <w:marLeft w:val="0"/>
      <w:marRight w:val="0"/>
      <w:marTop w:val="0"/>
      <w:marBottom w:val="0"/>
      <w:divBdr>
        <w:top w:val="none" w:sz="0" w:space="0" w:color="auto"/>
        <w:left w:val="none" w:sz="0" w:space="0" w:color="auto"/>
        <w:bottom w:val="none" w:sz="0" w:space="0" w:color="auto"/>
        <w:right w:val="none" w:sz="0" w:space="0" w:color="auto"/>
      </w:divBdr>
    </w:div>
    <w:div w:id="798843035">
      <w:bodyDiv w:val="1"/>
      <w:marLeft w:val="0"/>
      <w:marRight w:val="0"/>
      <w:marTop w:val="0"/>
      <w:marBottom w:val="0"/>
      <w:divBdr>
        <w:top w:val="none" w:sz="0" w:space="0" w:color="auto"/>
        <w:left w:val="none" w:sz="0" w:space="0" w:color="auto"/>
        <w:bottom w:val="none" w:sz="0" w:space="0" w:color="auto"/>
        <w:right w:val="none" w:sz="0" w:space="0" w:color="auto"/>
      </w:divBdr>
    </w:div>
    <w:div w:id="809633325">
      <w:bodyDiv w:val="1"/>
      <w:marLeft w:val="0"/>
      <w:marRight w:val="0"/>
      <w:marTop w:val="0"/>
      <w:marBottom w:val="0"/>
      <w:divBdr>
        <w:top w:val="none" w:sz="0" w:space="0" w:color="auto"/>
        <w:left w:val="none" w:sz="0" w:space="0" w:color="auto"/>
        <w:bottom w:val="none" w:sz="0" w:space="0" w:color="auto"/>
        <w:right w:val="none" w:sz="0" w:space="0" w:color="auto"/>
      </w:divBdr>
    </w:div>
    <w:div w:id="829906421">
      <w:bodyDiv w:val="1"/>
      <w:marLeft w:val="0"/>
      <w:marRight w:val="0"/>
      <w:marTop w:val="0"/>
      <w:marBottom w:val="0"/>
      <w:divBdr>
        <w:top w:val="none" w:sz="0" w:space="0" w:color="auto"/>
        <w:left w:val="none" w:sz="0" w:space="0" w:color="auto"/>
        <w:bottom w:val="none" w:sz="0" w:space="0" w:color="auto"/>
        <w:right w:val="none" w:sz="0" w:space="0" w:color="auto"/>
      </w:divBdr>
    </w:div>
    <w:div w:id="864637916">
      <w:bodyDiv w:val="1"/>
      <w:marLeft w:val="0"/>
      <w:marRight w:val="0"/>
      <w:marTop w:val="0"/>
      <w:marBottom w:val="0"/>
      <w:divBdr>
        <w:top w:val="none" w:sz="0" w:space="0" w:color="auto"/>
        <w:left w:val="none" w:sz="0" w:space="0" w:color="auto"/>
        <w:bottom w:val="none" w:sz="0" w:space="0" w:color="auto"/>
        <w:right w:val="none" w:sz="0" w:space="0" w:color="auto"/>
      </w:divBdr>
    </w:div>
    <w:div w:id="1064571895">
      <w:bodyDiv w:val="1"/>
      <w:marLeft w:val="0"/>
      <w:marRight w:val="0"/>
      <w:marTop w:val="0"/>
      <w:marBottom w:val="0"/>
      <w:divBdr>
        <w:top w:val="none" w:sz="0" w:space="0" w:color="auto"/>
        <w:left w:val="none" w:sz="0" w:space="0" w:color="auto"/>
        <w:bottom w:val="none" w:sz="0" w:space="0" w:color="auto"/>
        <w:right w:val="none" w:sz="0" w:space="0" w:color="auto"/>
      </w:divBdr>
      <w:divsChild>
        <w:div w:id="1827236660">
          <w:marLeft w:val="0"/>
          <w:marRight w:val="0"/>
          <w:marTop w:val="0"/>
          <w:marBottom w:val="0"/>
          <w:divBdr>
            <w:top w:val="none" w:sz="0" w:space="0" w:color="auto"/>
            <w:left w:val="none" w:sz="0" w:space="0" w:color="auto"/>
            <w:bottom w:val="single" w:sz="6" w:space="0" w:color="FFFFFF"/>
            <w:right w:val="none" w:sz="0" w:space="0" w:color="auto"/>
          </w:divBdr>
        </w:div>
        <w:div w:id="1188520401">
          <w:marLeft w:val="0"/>
          <w:marRight w:val="0"/>
          <w:marTop w:val="0"/>
          <w:marBottom w:val="0"/>
          <w:divBdr>
            <w:top w:val="none" w:sz="0" w:space="0" w:color="auto"/>
            <w:left w:val="none" w:sz="0" w:space="0" w:color="auto"/>
            <w:bottom w:val="single" w:sz="6" w:space="0" w:color="FFFFFF"/>
            <w:right w:val="none" w:sz="0" w:space="0" w:color="auto"/>
          </w:divBdr>
        </w:div>
      </w:divsChild>
    </w:div>
    <w:div w:id="1103955315">
      <w:bodyDiv w:val="1"/>
      <w:marLeft w:val="0"/>
      <w:marRight w:val="0"/>
      <w:marTop w:val="0"/>
      <w:marBottom w:val="0"/>
      <w:divBdr>
        <w:top w:val="none" w:sz="0" w:space="0" w:color="auto"/>
        <w:left w:val="none" w:sz="0" w:space="0" w:color="auto"/>
        <w:bottom w:val="none" w:sz="0" w:space="0" w:color="auto"/>
        <w:right w:val="none" w:sz="0" w:space="0" w:color="auto"/>
      </w:divBdr>
    </w:div>
    <w:div w:id="1160848134">
      <w:bodyDiv w:val="1"/>
      <w:marLeft w:val="0"/>
      <w:marRight w:val="0"/>
      <w:marTop w:val="0"/>
      <w:marBottom w:val="0"/>
      <w:divBdr>
        <w:top w:val="none" w:sz="0" w:space="0" w:color="auto"/>
        <w:left w:val="none" w:sz="0" w:space="0" w:color="auto"/>
        <w:bottom w:val="none" w:sz="0" w:space="0" w:color="auto"/>
        <w:right w:val="none" w:sz="0" w:space="0" w:color="auto"/>
      </w:divBdr>
      <w:divsChild>
        <w:div w:id="836576624">
          <w:marLeft w:val="821"/>
          <w:marRight w:val="0"/>
          <w:marTop w:val="140"/>
          <w:marBottom w:val="0"/>
          <w:divBdr>
            <w:top w:val="none" w:sz="0" w:space="0" w:color="auto"/>
            <w:left w:val="none" w:sz="0" w:space="0" w:color="auto"/>
            <w:bottom w:val="none" w:sz="0" w:space="0" w:color="auto"/>
            <w:right w:val="none" w:sz="0" w:space="0" w:color="auto"/>
          </w:divBdr>
        </w:div>
      </w:divsChild>
    </w:div>
    <w:div w:id="1344936681">
      <w:bodyDiv w:val="1"/>
      <w:marLeft w:val="0"/>
      <w:marRight w:val="0"/>
      <w:marTop w:val="0"/>
      <w:marBottom w:val="0"/>
      <w:divBdr>
        <w:top w:val="none" w:sz="0" w:space="0" w:color="auto"/>
        <w:left w:val="none" w:sz="0" w:space="0" w:color="auto"/>
        <w:bottom w:val="none" w:sz="0" w:space="0" w:color="auto"/>
        <w:right w:val="none" w:sz="0" w:space="0" w:color="auto"/>
      </w:divBdr>
    </w:div>
    <w:div w:id="1394619421">
      <w:bodyDiv w:val="1"/>
      <w:marLeft w:val="0"/>
      <w:marRight w:val="0"/>
      <w:marTop w:val="0"/>
      <w:marBottom w:val="0"/>
      <w:divBdr>
        <w:top w:val="none" w:sz="0" w:space="0" w:color="auto"/>
        <w:left w:val="none" w:sz="0" w:space="0" w:color="auto"/>
        <w:bottom w:val="none" w:sz="0" w:space="0" w:color="auto"/>
        <w:right w:val="none" w:sz="0" w:space="0" w:color="auto"/>
      </w:divBdr>
    </w:div>
    <w:div w:id="1409422403">
      <w:bodyDiv w:val="1"/>
      <w:marLeft w:val="0"/>
      <w:marRight w:val="0"/>
      <w:marTop w:val="0"/>
      <w:marBottom w:val="0"/>
      <w:divBdr>
        <w:top w:val="none" w:sz="0" w:space="0" w:color="auto"/>
        <w:left w:val="none" w:sz="0" w:space="0" w:color="auto"/>
        <w:bottom w:val="none" w:sz="0" w:space="0" w:color="auto"/>
        <w:right w:val="none" w:sz="0" w:space="0" w:color="auto"/>
      </w:divBdr>
    </w:div>
    <w:div w:id="1509825486">
      <w:bodyDiv w:val="1"/>
      <w:marLeft w:val="0"/>
      <w:marRight w:val="0"/>
      <w:marTop w:val="0"/>
      <w:marBottom w:val="0"/>
      <w:divBdr>
        <w:top w:val="none" w:sz="0" w:space="0" w:color="auto"/>
        <w:left w:val="none" w:sz="0" w:space="0" w:color="auto"/>
        <w:bottom w:val="none" w:sz="0" w:space="0" w:color="auto"/>
        <w:right w:val="none" w:sz="0" w:space="0" w:color="auto"/>
      </w:divBdr>
    </w:div>
    <w:div w:id="1551918633">
      <w:bodyDiv w:val="1"/>
      <w:marLeft w:val="0"/>
      <w:marRight w:val="0"/>
      <w:marTop w:val="0"/>
      <w:marBottom w:val="0"/>
      <w:divBdr>
        <w:top w:val="none" w:sz="0" w:space="0" w:color="auto"/>
        <w:left w:val="none" w:sz="0" w:space="0" w:color="auto"/>
        <w:bottom w:val="none" w:sz="0" w:space="0" w:color="auto"/>
        <w:right w:val="none" w:sz="0" w:space="0" w:color="auto"/>
      </w:divBdr>
    </w:div>
    <w:div w:id="1576085671">
      <w:bodyDiv w:val="1"/>
      <w:marLeft w:val="0"/>
      <w:marRight w:val="0"/>
      <w:marTop w:val="0"/>
      <w:marBottom w:val="0"/>
      <w:divBdr>
        <w:top w:val="none" w:sz="0" w:space="0" w:color="auto"/>
        <w:left w:val="none" w:sz="0" w:space="0" w:color="auto"/>
        <w:bottom w:val="none" w:sz="0" w:space="0" w:color="auto"/>
        <w:right w:val="none" w:sz="0" w:space="0" w:color="auto"/>
      </w:divBdr>
    </w:div>
    <w:div w:id="1682319825">
      <w:bodyDiv w:val="1"/>
      <w:marLeft w:val="0"/>
      <w:marRight w:val="0"/>
      <w:marTop w:val="0"/>
      <w:marBottom w:val="0"/>
      <w:divBdr>
        <w:top w:val="none" w:sz="0" w:space="0" w:color="auto"/>
        <w:left w:val="none" w:sz="0" w:space="0" w:color="auto"/>
        <w:bottom w:val="none" w:sz="0" w:space="0" w:color="auto"/>
        <w:right w:val="none" w:sz="0" w:space="0" w:color="auto"/>
      </w:divBdr>
    </w:div>
    <w:div w:id="1704090765">
      <w:bodyDiv w:val="1"/>
      <w:marLeft w:val="0"/>
      <w:marRight w:val="0"/>
      <w:marTop w:val="0"/>
      <w:marBottom w:val="0"/>
      <w:divBdr>
        <w:top w:val="none" w:sz="0" w:space="0" w:color="auto"/>
        <w:left w:val="none" w:sz="0" w:space="0" w:color="auto"/>
        <w:bottom w:val="none" w:sz="0" w:space="0" w:color="auto"/>
        <w:right w:val="none" w:sz="0" w:space="0" w:color="auto"/>
      </w:divBdr>
      <w:divsChild>
        <w:div w:id="126751114">
          <w:marLeft w:val="821"/>
          <w:marRight w:val="0"/>
          <w:marTop w:val="140"/>
          <w:marBottom w:val="0"/>
          <w:divBdr>
            <w:top w:val="none" w:sz="0" w:space="0" w:color="auto"/>
            <w:left w:val="none" w:sz="0" w:space="0" w:color="auto"/>
            <w:bottom w:val="none" w:sz="0" w:space="0" w:color="auto"/>
            <w:right w:val="none" w:sz="0" w:space="0" w:color="auto"/>
          </w:divBdr>
        </w:div>
      </w:divsChild>
    </w:div>
    <w:div w:id="1739552596">
      <w:bodyDiv w:val="1"/>
      <w:marLeft w:val="0"/>
      <w:marRight w:val="0"/>
      <w:marTop w:val="0"/>
      <w:marBottom w:val="0"/>
      <w:divBdr>
        <w:top w:val="none" w:sz="0" w:space="0" w:color="auto"/>
        <w:left w:val="none" w:sz="0" w:space="0" w:color="auto"/>
        <w:bottom w:val="none" w:sz="0" w:space="0" w:color="auto"/>
        <w:right w:val="none" w:sz="0" w:space="0" w:color="auto"/>
      </w:divBdr>
    </w:div>
    <w:div w:id="1913545062">
      <w:bodyDiv w:val="1"/>
      <w:marLeft w:val="0"/>
      <w:marRight w:val="0"/>
      <w:marTop w:val="0"/>
      <w:marBottom w:val="0"/>
      <w:divBdr>
        <w:top w:val="none" w:sz="0" w:space="0" w:color="auto"/>
        <w:left w:val="none" w:sz="0" w:space="0" w:color="auto"/>
        <w:bottom w:val="none" w:sz="0" w:space="0" w:color="auto"/>
        <w:right w:val="none" w:sz="0" w:space="0" w:color="auto"/>
      </w:divBdr>
    </w:div>
    <w:div w:id="1935479487">
      <w:bodyDiv w:val="1"/>
      <w:marLeft w:val="0"/>
      <w:marRight w:val="0"/>
      <w:marTop w:val="0"/>
      <w:marBottom w:val="0"/>
      <w:divBdr>
        <w:top w:val="none" w:sz="0" w:space="0" w:color="auto"/>
        <w:left w:val="none" w:sz="0" w:space="0" w:color="auto"/>
        <w:bottom w:val="none" w:sz="0" w:space="0" w:color="auto"/>
        <w:right w:val="none" w:sz="0" w:space="0" w:color="auto"/>
      </w:divBdr>
    </w:div>
    <w:div w:id="2059428956">
      <w:bodyDiv w:val="1"/>
      <w:marLeft w:val="0"/>
      <w:marRight w:val="0"/>
      <w:marTop w:val="0"/>
      <w:marBottom w:val="0"/>
      <w:divBdr>
        <w:top w:val="none" w:sz="0" w:space="0" w:color="auto"/>
        <w:left w:val="none" w:sz="0" w:space="0" w:color="auto"/>
        <w:bottom w:val="none" w:sz="0" w:space="0" w:color="auto"/>
        <w:right w:val="none" w:sz="0" w:space="0" w:color="auto"/>
      </w:divBdr>
    </w:div>
    <w:div w:id="2091078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888E3E42968D49BE759FDD6792C632"/>
        <w:category>
          <w:name w:val="General"/>
          <w:gallery w:val="placeholder"/>
        </w:category>
        <w:types>
          <w:type w:val="bbPlcHdr"/>
        </w:types>
        <w:behaviors>
          <w:behavior w:val="content"/>
        </w:behaviors>
        <w:guid w:val="{2A6E47CF-0CC5-6045-A3AC-EA085F8404AC}"/>
      </w:docPartPr>
      <w:docPartBody>
        <w:p w:rsidR="009601B4" w:rsidRDefault="009601B4" w:rsidP="009601B4">
          <w:pPr>
            <w:pStyle w:val="61888E3E42968D49BE759FDD6792C632"/>
          </w:pPr>
          <w:r>
            <w:t>[Type text]</w:t>
          </w:r>
        </w:p>
      </w:docPartBody>
    </w:docPart>
    <w:docPart>
      <w:docPartPr>
        <w:name w:val="B3EAC5DC3B0A47418D94CE36DD075699"/>
        <w:category>
          <w:name w:val="General"/>
          <w:gallery w:val="placeholder"/>
        </w:category>
        <w:types>
          <w:type w:val="bbPlcHdr"/>
        </w:types>
        <w:behaviors>
          <w:behavior w:val="content"/>
        </w:behaviors>
        <w:guid w:val="{8D780405-3630-D74F-A8BC-BED492FC5E3B}"/>
      </w:docPartPr>
      <w:docPartBody>
        <w:p w:rsidR="009601B4" w:rsidRDefault="009601B4" w:rsidP="009601B4">
          <w:pPr>
            <w:pStyle w:val="B3EAC5DC3B0A47418D94CE36DD075699"/>
          </w:pPr>
          <w:r>
            <w:t>[Type text]</w:t>
          </w:r>
        </w:p>
      </w:docPartBody>
    </w:docPart>
    <w:docPart>
      <w:docPartPr>
        <w:name w:val="FF3218877641A947ADDD80E0FBDD8DDB"/>
        <w:category>
          <w:name w:val="General"/>
          <w:gallery w:val="placeholder"/>
        </w:category>
        <w:types>
          <w:type w:val="bbPlcHdr"/>
        </w:types>
        <w:behaviors>
          <w:behavior w:val="content"/>
        </w:behaviors>
        <w:guid w:val="{06613B30-0D74-0E4A-9BBB-493FB253095D}"/>
      </w:docPartPr>
      <w:docPartBody>
        <w:p w:rsidR="009601B4" w:rsidRDefault="009601B4" w:rsidP="009601B4">
          <w:pPr>
            <w:pStyle w:val="FF3218877641A947ADDD80E0FBDD8DD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Garamond">
    <w:altName w:val="AGaramond"/>
    <w:panose1 w:val="020B0604020202020204"/>
    <w:charset w:val="4D"/>
    <w:family w:val="roman"/>
    <w:notTrueType/>
    <w:pitch w:val="default"/>
    <w:sig w:usb0="00000003" w:usb1="00000000" w:usb2="00000000" w:usb3="00000000" w:csb0="00000001" w:csb1="00000000"/>
  </w:font>
  <w:font w:name="Times">
    <w:altName w:val="Times New Roman"/>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1B4"/>
    <w:rsid w:val="003616D6"/>
    <w:rsid w:val="009601B4"/>
    <w:rsid w:val="00A2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888E3E42968D49BE759FDD6792C632">
    <w:name w:val="61888E3E42968D49BE759FDD6792C632"/>
    <w:rsid w:val="009601B4"/>
  </w:style>
  <w:style w:type="paragraph" w:customStyle="1" w:styleId="B3EAC5DC3B0A47418D94CE36DD075699">
    <w:name w:val="B3EAC5DC3B0A47418D94CE36DD075699"/>
    <w:rsid w:val="009601B4"/>
  </w:style>
  <w:style w:type="paragraph" w:customStyle="1" w:styleId="FF3218877641A947ADDD80E0FBDD8DDB">
    <w:name w:val="FF3218877641A947ADDD80E0FBDD8DDB"/>
    <w:rsid w:val="00960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B32CC-39CA-6745-8540-573A9950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4703</Words>
  <Characters>26432</Characters>
  <Application>Microsoft Office Word</Application>
  <DocSecurity>0</DocSecurity>
  <Lines>362</Lines>
  <Paragraphs>65</Paragraphs>
  <ScaleCrop>false</ScaleCrop>
  <HeadingPairs>
    <vt:vector size="2" baseType="variant">
      <vt:variant>
        <vt:lpstr>Title</vt:lpstr>
      </vt:variant>
      <vt:variant>
        <vt:i4>1</vt:i4>
      </vt:variant>
    </vt:vector>
  </HeadingPairs>
  <TitlesOfParts>
    <vt:vector size="1" baseType="lpstr">
      <vt:lpstr/>
    </vt:vector>
  </TitlesOfParts>
  <Company>SureScore</Company>
  <LinksUpToDate>false</LinksUpToDate>
  <CharactersWithSpaces>31070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Munoz</dc:creator>
  <cp:keywords/>
  <dc:description/>
  <cp:lastModifiedBy>Jonathon Munoz</cp:lastModifiedBy>
  <cp:revision>3</cp:revision>
  <dcterms:created xsi:type="dcterms:W3CDTF">2016-04-25T21:41:00Z</dcterms:created>
  <dcterms:modified xsi:type="dcterms:W3CDTF">2026-03-27T21:52:00Z</dcterms:modified>
</cp:coreProperties>
</file>